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8F" w:rsidRPr="00170441" w:rsidRDefault="0095648F" w:rsidP="00826F52">
      <w:pPr>
        <w:rPr>
          <w:rFonts w:ascii="Georgia" w:hAnsi="Georgia"/>
          <w:sz w:val="22"/>
          <w:szCs w:val="22"/>
        </w:rPr>
      </w:pPr>
      <w:bookmarkStart w:id="0" w:name="_GoBack"/>
      <w:bookmarkEnd w:id="0"/>
    </w:p>
    <w:p w:rsidR="0095648F" w:rsidRPr="00170441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170441">
        <w:rPr>
          <w:rFonts w:ascii="Georgia" w:hAnsi="Georgia" w:cs="Arial"/>
          <w:sz w:val="22"/>
          <w:szCs w:val="22"/>
        </w:rPr>
        <w:t>V roku 201</w:t>
      </w:r>
      <w:r>
        <w:rPr>
          <w:rFonts w:ascii="Georgia" w:hAnsi="Georgia" w:cs="Arial"/>
          <w:sz w:val="22"/>
          <w:szCs w:val="22"/>
        </w:rPr>
        <w:t>3</w:t>
      </w:r>
      <w:r w:rsidRPr="00170441">
        <w:rPr>
          <w:rFonts w:ascii="Georgia" w:hAnsi="Georgia" w:cs="Arial"/>
          <w:sz w:val="22"/>
          <w:szCs w:val="22"/>
        </w:rPr>
        <w:t xml:space="preserve"> okresné súdy</w:t>
      </w:r>
      <w:r>
        <w:rPr>
          <w:rFonts w:ascii="Georgia" w:hAnsi="Georgia" w:cs="Arial"/>
          <w:sz w:val="22"/>
          <w:szCs w:val="22"/>
        </w:rPr>
        <w:t xml:space="preserve"> v trestnej agende zaznamenali</w:t>
      </w:r>
      <w:r w:rsidRPr="00170441">
        <w:rPr>
          <w:rFonts w:ascii="Georgia" w:hAnsi="Georgia" w:cs="Arial"/>
          <w:sz w:val="22"/>
          <w:szCs w:val="22"/>
        </w:rPr>
        <w:t xml:space="preserve"> </w:t>
      </w:r>
      <w:r w:rsidRPr="00050293">
        <w:rPr>
          <w:rFonts w:ascii="Georgia" w:hAnsi="Georgia" w:cs="Arial"/>
          <w:b/>
          <w:sz w:val="22"/>
          <w:szCs w:val="22"/>
        </w:rPr>
        <w:t>37 828</w:t>
      </w:r>
      <w:r w:rsidRPr="00170441">
        <w:rPr>
          <w:rFonts w:ascii="Georgia" w:hAnsi="Georgia" w:cs="Arial"/>
          <w:sz w:val="22"/>
          <w:szCs w:val="22"/>
        </w:rPr>
        <w:t xml:space="preserve"> </w:t>
      </w:r>
      <w:r>
        <w:rPr>
          <w:rFonts w:ascii="Georgia" w:hAnsi="Georgia" w:cs="Arial"/>
          <w:sz w:val="22"/>
          <w:szCs w:val="22"/>
        </w:rPr>
        <w:t xml:space="preserve">došlých </w:t>
      </w:r>
      <w:r w:rsidRPr="00170441">
        <w:rPr>
          <w:rFonts w:ascii="Georgia" w:hAnsi="Georgia" w:cs="Arial"/>
          <w:sz w:val="22"/>
          <w:szCs w:val="22"/>
        </w:rPr>
        <w:t xml:space="preserve">vecí, v ktorých bolo stíhaných </w:t>
      </w:r>
      <w:r w:rsidRPr="00050293">
        <w:rPr>
          <w:rFonts w:ascii="Georgia" w:hAnsi="Georgia" w:cs="Arial"/>
          <w:b/>
          <w:sz w:val="22"/>
          <w:szCs w:val="22"/>
        </w:rPr>
        <w:t>44 185</w:t>
      </w:r>
      <w:r w:rsidRPr="00170441">
        <w:rPr>
          <w:rFonts w:ascii="Georgia" w:hAnsi="Georgia" w:cs="Arial"/>
          <w:sz w:val="22"/>
          <w:szCs w:val="22"/>
        </w:rPr>
        <w:t xml:space="preserve"> osôb. V porovnaní s</w:t>
      </w:r>
      <w:r>
        <w:rPr>
          <w:rFonts w:ascii="Georgia" w:hAnsi="Georgia" w:cs="Arial"/>
          <w:sz w:val="22"/>
          <w:szCs w:val="22"/>
        </w:rPr>
        <w:t xml:space="preserve"> predchádzajúcim </w:t>
      </w:r>
      <w:r w:rsidRPr="00170441">
        <w:rPr>
          <w:rFonts w:ascii="Georgia" w:hAnsi="Georgia" w:cs="Arial"/>
          <w:sz w:val="22"/>
          <w:szCs w:val="22"/>
        </w:rPr>
        <w:t>rokom 201</w:t>
      </w:r>
      <w:r>
        <w:rPr>
          <w:rFonts w:ascii="Georgia" w:hAnsi="Georgia" w:cs="Arial"/>
          <w:sz w:val="22"/>
          <w:szCs w:val="22"/>
        </w:rPr>
        <w:t>2</w:t>
      </w:r>
      <w:r w:rsidRPr="00170441">
        <w:rPr>
          <w:rFonts w:ascii="Georgia" w:hAnsi="Georgia" w:cs="Arial"/>
          <w:sz w:val="22"/>
          <w:szCs w:val="22"/>
        </w:rPr>
        <w:t xml:space="preserve"> okresné súdy Slovenskej republiky </w:t>
      </w:r>
      <w:r>
        <w:rPr>
          <w:rFonts w:ascii="Georgia" w:hAnsi="Georgia" w:cs="Arial"/>
          <w:sz w:val="22"/>
          <w:szCs w:val="22"/>
        </w:rPr>
        <w:t xml:space="preserve">zaznamenali mierny </w:t>
      </w:r>
      <w:r w:rsidRPr="00170441">
        <w:rPr>
          <w:rFonts w:ascii="Georgia" w:hAnsi="Georgia" w:cs="Arial"/>
          <w:sz w:val="22"/>
          <w:szCs w:val="22"/>
        </w:rPr>
        <w:t xml:space="preserve">nárast počtu vecí došlých i nárast počtu osôb v týchto veciach stíhaných. </w:t>
      </w:r>
    </w:p>
    <w:p w:rsidR="0095648F" w:rsidRPr="00170441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170441" w:rsidRDefault="0095648F" w:rsidP="00050293">
      <w:pPr>
        <w:spacing w:line="276" w:lineRule="auto"/>
        <w:jc w:val="both"/>
        <w:rPr>
          <w:rFonts w:ascii="Georgia" w:hAnsi="Georgia" w:cs="Arial"/>
          <w:b/>
          <w:sz w:val="22"/>
          <w:szCs w:val="22"/>
        </w:rPr>
      </w:pPr>
      <w:r w:rsidRPr="00050293">
        <w:rPr>
          <w:rFonts w:ascii="Georgia" w:hAnsi="Georgia" w:cs="Arial"/>
          <w:sz w:val="22"/>
          <w:szCs w:val="22"/>
        </w:rPr>
        <w:t>Okresné súdy Slovenskej republiky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  <w:r w:rsidRPr="00170441">
        <w:rPr>
          <w:rFonts w:ascii="Georgia" w:hAnsi="Georgia" w:cs="Arial"/>
          <w:sz w:val="22"/>
          <w:szCs w:val="22"/>
        </w:rPr>
        <w:t>v roku 201</w:t>
      </w:r>
      <w:r>
        <w:rPr>
          <w:rFonts w:ascii="Georgia" w:hAnsi="Georgia" w:cs="Arial"/>
          <w:sz w:val="22"/>
          <w:szCs w:val="22"/>
        </w:rPr>
        <w:t>3</w:t>
      </w:r>
      <w:r w:rsidRPr="00170441">
        <w:rPr>
          <w:rFonts w:ascii="Georgia" w:hAnsi="Georgia" w:cs="Arial"/>
          <w:sz w:val="22"/>
          <w:szCs w:val="22"/>
        </w:rPr>
        <w:t xml:space="preserve"> vybavili </w:t>
      </w:r>
      <w:r w:rsidRPr="00050293">
        <w:rPr>
          <w:rFonts w:ascii="Georgia" w:hAnsi="Georgia" w:cs="Arial"/>
          <w:b/>
          <w:sz w:val="22"/>
          <w:szCs w:val="22"/>
        </w:rPr>
        <w:t>38 547</w:t>
      </w:r>
      <w:r w:rsidRPr="00170441">
        <w:rPr>
          <w:rFonts w:ascii="Georgia" w:hAnsi="Georgia" w:cs="Arial"/>
          <w:sz w:val="22"/>
          <w:szCs w:val="22"/>
        </w:rPr>
        <w:t xml:space="preserve"> vecí, v ktorých bolo stíhaných </w:t>
      </w:r>
      <w:r w:rsidRPr="00050293">
        <w:rPr>
          <w:rFonts w:ascii="Georgia" w:hAnsi="Georgia" w:cs="Arial"/>
          <w:b/>
          <w:sz w:val="22"/>
          <w:szCs w:val="22"/>
        </w:rPr>
        <w:t>45 236</w:t>
      </w:r>
      <w:r w:rsidRPr="00170441">
        <w:rPr>
          <w:rFonts w:ascii="Georgia" w:hAnsi="Georgia" w:cs="Arial"/>
          <w:sz w:val="22"/>
          <w:szCs w:val="22"/>
        </w:rPr>
        <w:t xml:space="preserve"> osôb</w:t>
      </w:r>
      <w:r>
        <w:rPr>
          <w:rFonts w:ascii="Georgia" w:hAnsi="Georgia" w:cs="Arial"/>
          <w:sz w:val="22"/>
          <w:szCs w:val="22"/>
        </w:rPr>
        <w:t xml:space="preserve">, čo predstavuje nárast v počte vybavených vecí v porovnaní s predchádzajúcimi rokmi.  </w:t>
      </w:r>
    </w:p>
    <w:p w:rsidR="0095648F" w:rsidRPr="00170441" w:rsidRDefault="0095648F" w:rsidP="00170441">
      <w:pPr>
        <w:spacing w:line="276" w:lineRule="auto"/>
        <w:ind w:firstLine="708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170441">
        <w:rPr>
          <w:rFonts w:ascii="Georgia" w:hAnsi="Georgia" w:cs="Arial"/>
          <w:sz w:val="22"/>
          <w:szCs w:val="22"/>
        </w:rPr>
        <w:t>V roku 201</w:t>
      </w:r>
      <w:r>
        <w:rPr>
          <w:rFonts w:ascii="Georgia" w:hAnsi="Georgia" w:cs="Arial"/>
          <w:sz w:val="22"/>
          <w:szCs w:val="22"/>
        </w:rPr>
        <w:t>3</w:t>
      </w:r>
      <w:r w:rsidRPr="00170441">
        <w:rPr>
          <w:rFonts w:ascii="Georgia" w:hAnsi="Georgia" w:cs="Arial"/>
          <w:sz w:val="22"/>
          <w:szCs w:val="22"/>
        </w:rPr>
        <w:t xml:space="preserve"> </w:t>
      </w:r>
      <w:r>
        <w:rPr>
          <w:rFonts w:ascii="Georgia" w:hAnsi="Georgia" w:cs="Arial"/>
          <w:sz w:val="22"/>
          <w:szCs w:val="22"/>
        </w:rPr>
        <w:t>z</w:t>
      </w:r>
      <w:r w:rsidRPr="00170441">
        <w:rPr>
          <w:rFonts w:ascii="Georgia" w:hAnsi="Georgia" w:cs="Arial"/>
          <w:sz w:val="22"/>
          <w:szCs w:val="22"/>
        </w:rPr>
        <w:t xml:space="preserve">ostalo na okresných súdoch </w:t>
      </w:r>
      <w:r w:rsidRPr="00050293">
        <w:rPr>
          <w:rFonts w:ascii="Georgia" w:hAnsi="Georgia" w:cs="Arial"/>
          <w:sz w:val="22"/>
          <w:szCs w:val="22"/>
        </w:rPr>
        <w:t>nevybavených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  <w:r w:rsidRPr="00BF2C47">
        <w:rPr>
          <w:rFonts w:ascii="Georgia" w:hAnsi="Georgia" w:cs="Arial"/>
          <w:b/>
          <w:sz w:val="22"/>
          <w:szCs w:val="22"/>
        </w:rPr>
        <w:t>16 066</w:t>
      </w:r>
      <w:r w:rsidRPr="00170441">
        <w:rPr>
          <w:rFonts w:ascii="Georgia" w:hAnsi="Georgia" w:cs="Arial"/>
          <w:sz w:val="22"/>
          <w:szCs w:val="22"/>
        </w:rPr>
        <w:t xml:space="preserve"> vecí, v ktorých bolo stíhaných </w:t>
      </w:r>
      <w:r w:rsidRPr="00BF2C47">
        <w:rPr>
          <w:rFonts w:ascii="Georgia" w:hAnsi="Georgia" w:cs="Arial"/>
          <w:b/>
          <w:sz w:val="22"/>
          <w:szCs w:val="22"/>
        </w:rPr>
        <w:t>20 915</w:t>
      </w:r>
      <w:r w:rsidRPr="00170441">
        <w:rPr>
          <w:rFonts w:ascii="Georgia" w:hAnsi="Georgia" w:cs="Arial"/>
          <w:sz w:val="22"/>
          <w:szCs w:val="22"/>
        </w:rPr>
        <w:t xml:space="preserve"> osôb. </w:t>
      </w:r>
      <w:r>
        <w:rPr>
          <w:rFonts w:ascii="Georgia" w:hAnsi="Georgia" w:cs="Arial"/>
          <w:sz w:val="22"/>
          <w:szCs w:val="22"/>
        </w:rPr>
        <w:t xml:space="preserve">Pokračuje teda trend predchádzajúcich rokov v poklese počtu nevybavených vecí.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Na krajské súdy ako súdy odvolacie v roku 2013 napadlo </w:t>
      </w:r>
      <w:r>
        <w:rPr>
          <w:rFonts w:ascii="Georgia" w:hAnsi="Georgia" w:cs="Arial"/>
          <w:b/>
          <w:sz w:val="22"/>
          <w:szCs w:val="22"/>
        </w:rPr>
        <w:t>3 689</w:t>
      </w:r>
      <w:r>
        <w:rPr>
          <w:rFonts w:ascii="Georgia" w:hAnsi="Georgia" w:cs="Arial"/>
          <w:sz w:val="22"/>
          <w:szCs w:val="22"/>
        </w:rPr>
        <w:t xml:space="preserve"> vecí, v ktorých bolo stíhaných </w:t>
      </w:r>
      <w:r>
        <w:rPr>
          <w:rFonts w:ascii="Georgia" w:hAnsi="Georgia" w:cs="Arial"/>
          <w:b/>
          <w:sz w:val="22"/>
          <w:szCs w:val="22"/>
        </w:rPr>
        <w:t>4 397</w:t>
      </w:r>
      <w:r>
        <w:rPr>
          <w:rFonts w:ascii="Georgia" w:hAnsi="Georgia" w:cs="Arial"/>
          <w:sz w:val="22"/>
          <w:szCs w:val="22"/>
        </w:rPr>
        <w:t xml:space="preserve"> osôb.   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BF2C47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Krajské súdy v rámci odvolacej agendy vybavili </w:t>
      </w:r>
      <w:r>
        <w:rPr>
          <w:rFonts w:ascii="Georgia" w:hAnsi="Georgia" w:cs="Arial"/>
          <w:b/>
          <w:sz w:val="22"/>
          <w:szCs w:val="22"/>
        </w:rPr>
        <w:t>3 708</w:t>
      </w:r>
      <w:r>
        <w:rPr>
          <w:rFonts w:ascii="Georgia" w:hAnsi="Georgia" w:cs="Arial"/>
          <w:sz w:val="22"/>
          <w:szCs w:val="22"/>
        </w:rPr>
        <w:t xml:space="preserve"> vecí, ktoré sa týkali </w:t>
      </w:r>
      <w:r w:rsidRPr="00677F77">
        <w:rPr>
          <w:rFonts w:ascii="Georgia" w:hAnsi="Georgia" w:cs="Arial"/>
          <w:b/>
          <w:sz w:val="22"/>
          <w:szCs w:val="22"/>
        </w:rPr>
        <w:t>4 399</w:t>
      </w:r>
      <w:r>
        <w:rPr>
          <w:rFonts w:ascii="Georgia" w:hAnsi="Georgia" w:cs="Arial"/>
          <w:sz w:val="22"/>
          <w:szCs w:val="22"/>
        </w:rPr>
        <w:t xml:space="preserve"> trestne stíhaných osôb, </w:t>
      </w:r>
      <w:r w:rsidRPr="00677F77">
        <w:rPr>
          <w:rFonts w:ascii="Georgia" w:hAnsi="Georgia" w:cs="Arial"/>
          <w:sz w:val="22"/>
          <w:szCs w:val="22"/>
        </w:rPr>
        <w:t>pričom</w:t>
      </w:r>
      <w:r>
        <w:rPr>
          <w:rFonts w:ascii="Georgia" w:hAnsi="Georgia" w:cs="Arial"/>
          <w:sz w:val="22"/>
          <w:szCs w:val="22"/>
        </w:rPr>
        <w:t xml:space="preserve"> nevybavených vecí zostalo </w:t>
      </w:r>
      <w:r>
        <w:rPr>
          <w:rFonts w:ascii="Georgia" w:hAnsi="Georgia" w:cs="Arial"/>
          <w:b/>
          <w:sz w:val="22"/>
          <w:szCs w:val="22"/>
        </w:rPr>
        <w:t>791</w:t>
      </w:r>
      <w:r>
        <w:rPr>
          <w:rFonts w:ascii="Georgia" w:hAnsi="Georgia" w:cs="Arial"/>
          <w:sz w:val="22"/>
          <w:szCs w:val="22"/>
        </w:rPr>
        <w:t xml:space="preserve">, v ktorých je stíhaných </w:t>
      </w:r>
      <w:r>
        <w:rPr>
          <w:rFonts w:ascii="Georgia" w:hAnsi="Georgia" w:cs="Arial"/>
          <w:b/>
          <w:sz w:val="22"/>
          <w:szCs w:val="22"/>
        </w:rPr>
        <w:t xml:space="preserve">999 </w:t>
      </w:r>
      <w:r>
        <w:rPr>
          <w:rFonts w:ascii="Georgia" w:hAnsi="Georgia" w:cs="Arial"/>
          <w:sz w:val="22"/>
          <w:szCs w:val="22"/>
        </w:rPr>
        <w:t xml:space="preserve">osôb.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D361B9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V </w:t>
      </w:r>
      <w:r>
        <w:rPr>
          <w:rFonts w:ascii="Georgia" w:hAnsi="Georgia" w:cs="Arial"/>
          <w:b/>
          <w:sz w:val="22"/>
          <w:szCs w:val="22"/>
        </w:rPr>
        <w:t>46,72 %</w:t>
      </w:r>
      <w:r>
        <w:rPr>
          <w:rFonts w:ascii="Georgia" w:hAnsi="Georgia" w:cs="Arial"/>
          <w:sz w:val="22"/>
          <w:szCs w:val="22"/>
        </w:rPr>
        <w:t xml:space="preserve"> krajské súdy zamietli odvolanie, alebo došlo k jeho späťvzatiu. V </w:t>
      </w:r>
      <w:r>
        <w:rPr>
          <w:rFonts w:ascii="Georgia" w:hAnsi="Georgia" w:cs="Arial"/>
          <w:b/>
          <w:sz w:val="22"/>
          <w:szCs w:val="22"/>
        </w:rPr>
        <w:t>24,62 %</w:t>
      </w:r>
      <w:r>
        <w:rPr>
          <w:rFonts w:ascii="Georgia" w:hAnsi="Georgia" w:cs="Arial"/>
          <w:sz w:val="22"/>
          <w:szCs w:val="22"/>
        </w:rPr>
        <w:t xml:space="preserve"> vrátili vec prvostupňovému súdu na nové prejednanie a rozhodnutie. Krajské súdy sami rozhodli o sprísnení trestu v </w:t>
      </w:r>
      <w:r>
        <w:rPr>
          <w:rFonts w:ascii="Georgia" w:hAnsi="Georgia" w:cs="Arial"/>
          <w:b/>
          <w:sz w:val="22"/>
          <w:szCs w:val="22"/>
        </w:rPr>
        <w:t>3,68 %</w:t>
      </w:r>
      <w:r>
        <w:rPr>
          <w:rFonts w:ascii="Georgia" w:hAnsi="Georgia" w:cs="Arial"/>
          <w:sz w:val="22"/>
          <w:szCs w:val="22"/>
        </w:rPr>
        <w:t xml:space="preserve"> prípadoch, o zmiernení trestu v </w:t>
      </w:r>
      <w:r>
        <w:rPr>
          <w:rFonts w:ascii="Georgia" w:hAnsi="Georgia" w:cs="Arial"/>
          <w:b/>
          <w:sz w:val="22"/>
          <w:szCs w:val="22"/>
        </w:rPr>
        <w:t>10,73 %</w:t>
      </w:r>
      <w:r>
        <w:rPr>
          <w:rFonts w:ascii="Georgia" w:hAnsi="Georgia" w:cs="Arial"/>
          <w:sz w:val="22"/>
          <w:szCs w:val="22"/>
        </w:rPr>
        <w:t xml:space="preserve"> prípadoch a v</w:t>
      </w:r>
      <w:r w:rsidRPr="00677F77">
        <w:rPr>
          <w:rFonts w:ascii="Georgia" w:hAnsi="Georgia" w:cs="Arial"/>
          <w:sz w:val="22"/>
          <w:szCs w:val="22"/>
        </w:rPr>
        <w:t>o výroku o vine</w:t>
      </w:r>
      <w:r>
        <w:rPr>
          <w:rFonts w:ascii="Georgia" w:hAnsi="Georgia" w:cs="Arial"/>
          <w:sz w:val="22"/>
          <w:szCs w:val="22"/>
        </w:rPr>
        <w:t xml:space="preserve"> sami rozhodli v </w:t>
      </w:r>
      <w:r>
        <w:rPr>
          <w:rFonts w:ascii="Georgia" w:hAnsi="Georgia" w:cs="Arial"/>
          <w:b/>
          <w:sz w:val="22"/>
          <w:szCs w:val="22"/>
        </w:rPr>
        <w:t xml:space="preserve">1,27 % </w:t>
      </w:r>
      <w:r>
        <w:rPr>
          <w:rFonts w:ascii="Georgia" w:hAnsi="Georgia" w:cs="Arial"/>
          <w:sz w:val="22"/>
          <w:szCs w:val="22"/>
        </w:rPr>
        <w:t xml:space="preserve">prípadoch.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Súdy v roku 2013 spolu odsúdili </w:t>
      </w:r>
      <w:r>
        <w:rPr>
          <w:rFonts w:ascii="Georgia" w:hAnsi="Georgia" w:cs="Arial"/>
          <w:b/>
          <w:sz w:val="22"/>
          <w:szCs w:val="22"/>
        </w:rPr>
        <w:t>36 079</w:t>
      </w:r>
      <w:r>
        <w:rPr>
          <w:rFonts w:ascii="Georgia" w:hAnsi="Georgia" w:cs="Arial"/>
          <w:sz w:val="22"/>
          <w:szCs w:val="22"/>
        </w:rPr>
        <w:t xml:space="preserve"> osôb za </w:t>
      </w:r>
      <w:r>
        <w:rPr>
          <w:rFonts w:ascii="Georgia" w:hAnsi="Georgia" w:cs="Arial"/>
          <w:b/>
          <w:sz w:val="22"/>
          <w:szCs w:val="22"/>
        </w:rPr>
        <w:t>42 608</w:t>
      </w:r>
      <w:r>
        <w:rPr>
          <w:rFonts w:ascii="Georgia" w:hAnsi="Georgia" w:cs="Arial"/>
          <w:sz w:val="22"/>
          <w:szCs w:val="22"/>
        </w:rPr>
        <w:t xml:space="preserve"> spáchaných skutkov. Najčastejšie ukladaným trestom bol trest odňatia slobody s podmienečným odkladom jeho výkonu.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3F4A6A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Trest domáceho väzenia bol uložený  </w:t>
      </w:r>
      <w:r>
        <w:rPr>
          <w:rFonts w:ascii="Georgia" w:hAnsi="Georgia" w:cs="Arial"/>
          <w:b/>
          <w:sz w:val="22"/>
          <w:szCs w:val="22"/>
        </w:rPr>
        <w:t>21</w:t>
      </w:r>
      <w:r>
        <w:rPr>
          <w:rFonts w:ascii="Georgia" w:hAnsi="Georgia" w:cs="Arial"/>
          <w:sz w:val="22"/>
          <w:szCs w:val="22"/>
        </w:rPr>
        <w:t xml:space="preserve"> osobám a trest povinnej práce </w:t>
      </w:r>
      <w:r>
        <w:rPr>
          <w:rFonts w:ascii="Georgia" w:hAnsi="Georgia" w:cs="Arial"/>
          <w:b/>
          <w:sz w:val="22"/>
          <w:szCs w:val="22"/>
        </w:rPr>
        <w:t>3 581</w:t>
      </w:r>
      <w:r>
        <w:rPr>
          <w:rFonts w:ascii="Georgia" w:hAnsi="Georgia" w:cs="Arial"/>
          <w:sz w:val="22"/>
          <w:szCs w:val="22"/>
        </w:rPr>
        <w:t xml:space="preserve"> osobám. 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V roku 2013 bolo odsúdených </w:t>
      </w:r>
      <w:r>
        <w:rPr>
          <w:rFonts w:ascii="Georgia" w:hAnsi="Georgia" w:cs="Arial"/>
          <w:b/>
          <w:sz w:val="22"/>
          <w:szCs w:val="22"/>
        </w:rPr>
        <w:t xml:space="preserve">1 806 </w:t>
      </w:r>
      <w:r>
        <w:rPr>
          <w:rFonts w:ascii="Georgia" w:hAnsi="Georgia" w:cs="Arial"/>
          <w:sz w:val="22"/>
          <w:szCs w:val="22"/>
        </w:rPr>
        <w:t xml:space="preserve">mladistvých za </w:t>
      </w:r>
      <w:r>
        <w:rPr>
          <w:rFonts w:ascii="Georgia" w:hAnsi="Georgia" w:cs="Arial"/>
          <w:b/>
          <w:sz w:val="22"/>
          <w:szCs w:val="22"/>
        </w:rPr>
        <w:t>2 469</w:t>
      </w:r>
      <w:r>
        <w:rPr>
          <w:rFonts w:ascii="Georgia" w:hAnsi="Georgia" w:cs="Arial"/>
          <w:sz w:val="22"/>
          <w:szCs w:val="22"/>
        </w:rPr>
        <w:t xml:space="preserve"> skutkov. Aj mladistvým bol najčastejšie ukladaný trest odňatia slobody s podmienečným odkladom jeho výkonu. V </w:t>
      </w:r>
      <w:r>
        <w:rPr>
          <w:rFonts w:ascii="Georgia" w:hAnsi="Georgia" w:cs="Arial"/>
          <w:b/>
          <w:sz w:val="22"/>
          <w:szCs w:val="22"/>
        </w:rPr>
        <w:t>103</w:t>
      </w:r>
      <w:r>
        <w:rPr>
          <w:rFonts w:ascii="Georgia" w:hAnsi="Georgia" w:cs="Arial"/>
          <w:sz w:val="22"/>
          <w:szCs w:val="22"/>
        </w:rPr>
        <w:t xml:space="preserve"> prípadoch bol uložený nepodmienečný trest odňatia slobody.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BD6BB1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Z celkového počtu odsúdených bolo </w:t>
      </w:r>
      <w:r>
        <w:rPr>
          <w:rFonts w:ascii="Georgia" w:hAnsi="Georgia" w:cs="Arial"/>
          <w:b/>
          <w:sz w:val="22"/>
          <w:szCs w:val="22"/>
        </w:rPr>
        <w:t>5 267</w:t>
      </w:r>
      <w:r>
        <w:rPr>
          <w:rFonts w:ascii="Georgia" w:hAnsi="Georgia" w:cs="Arial"/>
          <w:sz w:val="22"/>
          <w:szCs w:val="22"/>
        </w:rPr>
        <w:t xml:space="preserve"> žien a </w:t>
      </w:r>
      <w:r>
        <w:rPr>
          <w:rFonts w:ascii="Georgia" w:hAnsi="Georgia" w:cs="Arial"/>
          <w:b/>
          <w:sz w:val="22"/>
          <w:szCs w:val="22"/>
        </w:rPr>
        <w:t>10 598</w:t>
      </w:r>
      <w:r>
        <w:rPr>
          <w:rFonts w:ascii="Georgia" w:hAnsi="Georgia" w:cs="Arial"/>
          <w:sz w:val="22"/>
          <w:szCs w:val="22"/>
        </w:rPr>
        <w:t xml:space="preserve"> recidivistov.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3F4A6A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V roku 2013 súdy rozhodli u</w:t>
      </w:r>
      <w:r>
        <w:rPr>
          <w:rFonts w:ascii="Georgia" w:hAnsi="Georgia" w:cs="Arial"/>
          <w:b/>
          <w:sz w:val="22"/>
          <w:szCs w:val="22"/>
        </w:rPr>
        <w:t> 1 788</w:t>
      </w:r>
      <w:r>
        <w:rPr>
          <w:rFonts w:ascii="Georgia" w:hAnsi="Georgia" w:cs="Arial"/>
          <w:sz w:val="22"/>
          <w:szCs w:val="22"/>
        </w:rPr>
        <w:t xml:space="preserve"> (1632 + 156) osôb o oslobodení spod obžaloby. U </w:t>
      </w:r>
      <w:r>
        <w:rPr>
          <w:rFonts w:ascii="Georgia" w:hAnsi="Georgia" w:cs="Arial"/>
          <w:b/>
          <w:sz w:val="22"/>
          <w:szCs w:val="22"/>
        </w:rPr>
        <w:t xml:space="preserve">339 </w:t>
      </w:r>
      <w:r>
        <w:rPr>
          <w:rFonts w:ascii="Georgia" w:hAnsi="Georgia" w:cs="Arial"/>
          <w:sz w:val="22"/>
          <w:szCs w:val="22"/>
        </w:rPr>
        <w:t>osôb došlo k zastaveniu trestného stíhania a u </w:t>
      </w:r>
      <w:r>
        <w:rPr>
          <w:rFonts w:ascii="Georgia" w:hAnsi="Georgia" w:cs="Arial"/>
          <w:b/>
          <w:sz w:val="22"/>
          <w:szCs w:val="22"/>
        </w:rPr>
        <w:t>130</w:t>
      </w:r>
      <w:r>
        <w:rPr>
          <w:rFonts w:ascii="Georgia" w:hAnsi="Georgia" w:cs="Arial"/>
          <w:sz w:val="22"/>
          <w:szCs w:val="22"/>
        </w:rPr>
        <w:t xml:space="preserve"> osôb bol využitý inštitút zmieru.  Dohoda o vine a treste bola súdmi schválená v </w:t>
      </w:r>
      <w:r>
        <w:rPr>
          <w:rFonts w:ascii="Georgia" w:hAnsi="Georgia" w:cs="Arial"/>
          <w:b/>
          <w:sz w:val="22"/>
          <w:szCs w:val="22"/>
        </w:rPr>
        <w:t>6 913</w:t>
      </w:r>
      <w:r>
        <w:rPr>
          <w:rFonts w:ascii="Georgia" w:hAnsi="Georgia" w:cs="Arial"/>
          <w:sz w:val="22"/>
          <w:szCs w:val="22"/>
        </w:rPr>
        <w:t xml:space="preserve"> prípadoch.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Z celkového počtu 36 079 odsúdených, trestný čin pod vplyvom alkoholu spáchali </w:t>
      </w:r>
      <w:r>
        <w:rPr>
          <w:rFonts w:ascii="Georgia" w:hAnsi="Georgia" w:cs="Arial"/>
          <w:b/>
          <w:sz w:val="22"/>
          <w:szCs w:val="22"/>
        </w:rPr>
        <w:t>6 876</w:t>
      </w:r>
      <w:r>
        <w:rPr>
          <w:rFonts w:ascii="Georgia" w:hAnsi="Georgia" w:cs="Arial"/>
          <w:sz w:val="22"/>
          <w:szCs w:val="22"/>
        </w:rPr>
        <w:t xml:space="preserve">, čo predstavuje </w:t>
      </w:r>
      <w:r>
        <w:rPr>
          <w:rFonts w:ascii="Georgia" w:hAnsi="Georgia" w:cs="Arial"/>
          <w:b/>
          <w:sz w:val="22"/>
          <w:szCs w:val="22"/>
        </w:rPr>
        <w:t>19,1 %</w:t>
      </w:r>
      <w:r>
        <w:rPr>
          <w:rFonts w:ascii="Georgia" w:hAnsi="Georgia" w:cs="Arial"/>
          <w:sz w:val="22"/>
          <w:szCs w:val="22"/>
        </w:rPr>
        <w:t xml:space="preserve"> podiel na všetkých odsúdených v roku 2013.</w:t>
      </w:r>
      <w:r>
        <w:rPr>
          <w:rFonts w:ascii="Georgia" w:hAnsi="Georgia" w:cs="Arial"/>
          <w:b/>
          <w:sz w:val="22"/>
          <w:szCs w:val="22"/>
        </w:rPr>
        <w:t xml:space="preserve"> </w:t>
      </w:r>
      <w:r>
        <w:rPr>
          <w:rFonts w:ascii="Georgia" w:hAnsi="Georgia" w:cs="Arial"/>
          <w:sz w:val="22"/>
          <w:szCs w:val="22"/>
        </w:rPr>
        <w:t xml:space="preserve">V porovnaní s predchádzajúcimi rokmi došlo k nárastu počtu osôb, ktoré boli odsúdené za trestný čin spáchaný pod vplyvom návykových látok na </w:t>
      </w:r>
      <w:r>
        <w:rPr>
          <w:rFonts w:ascii="Georgia" w:hAnsi="Georgia" w:cs="Arial"/>
          <w:b/>
          <w:sz w:val="22"/>
          <w:szCs w:val="22"/>
        </w:rPr>
        <w:t>528</w:t>
      </w:r>
      <w:r>
        <w:rPr>
          <w:rFonts w:ascii="Georgia" w:hAnsi="Georgia" w:cs="Arial"/>
          <w:sz w:val="22"/>
          <w:szCs w:val="22"/>
        </w:rPr>
        <w:t xml:space="preserve"> osôb. 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Z hľadiska osobitne sledovaných trestných činov v roku 2013 najväčší podiel </w:t>
      </w:r>
      <w:r>
        <w:rPr>
          <w:rFonts w:ascii="Georgia" w:hAnsi="Georgia" w:cs="Arial"/>
          <w:b/>
          <w:sz w:val="22"/>
          <w:szCs w:val="22"/>
        </w:rPr>
        <w:t xml:space="preserve">29,95 % </w:t>
      </w:r>
      <w:r>
        <w:rPr>
          <w:rFonts w:ascii="Georgia" w:hAnsi="Georgia" w:cs="Arial"/>
          <w:sz w:val="22"/>
          <w:szCs w:val="22"/>
        </w:rPr>
        <w:t xml:space="preserve">tvorili majetkové trestné činy, ako krádež, sprenevera, podvod.  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170441" w:rsidRDefault="0095648F" w:rsidP="00FD405F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FD405F">
        <w:rPr>
          <w:rFonts w:ascii="Georgia" w:hAnsi="Georgia" w:cs="Arial"/>
          <w:sz w:val="22"/>
          <w:szCs w:val="22"/>
        </w:rPr>
        <w:t>Rýchlosť konania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  <w:r w:rsidRPr="00170441">
        <w:rPr>
          <w:rFonts w:ascii="Georgia" w:hAnsi="Georgia" w:cs="Arial"/>
          <w:sz w:val="22"/>
          <w:szCs w:val="22"/>
        </w:rPr>
        <w:t>na okresných súdoch u právoplatne odsúdených osôb v roku 201</w:t>
      </w:r>
      <w:r>
        <w:rPr>
          <w:rFonts w:ascii="Georgia" w:hAnsi="Georgia" w:cs="Arial"/>
          <w:sz w:val="22"/>
          <w:szCs w:val="22"/>
        </w:rPr>
        <w:t>3</w:t>
      </w:r>
      <w:r w:rsidRPr="00170441">
        <w:rPr>
          <w:rFonts w:ascii="Georgia" w:hAnsi="Georgia" w:cs="Arial"/>
          <w:sz w:val="22"/>
          <w:szCs w:val="22"/>
        </w:rPr>
        <w:t xml:space="preserve"> bola v celoštátnom priemere </w:t>
      </w:r>
      <w:r w:rsidRPr="00FD405F">
        <w:rPr>
          <w:rFonts w:ascii="Georgia" w:hAnsi="Georgia" w:cs="Arial"/>
          <w:b/>
          <w:sz w:val="22"/>
          <w:szCs w:val="22"/>
        </w:rPr>
        <w:t>4,</w:t>
      </w:r>
      <w:r>
        <w:rPr>
          <w:rFonts w:ascii="Georgia" w:hAnsi="Georgia" w:cs="Arial"/>
          <w:b/>
          <w:sz w:val="22"/>
          <w:szCs w:val="22"/>
        </w:rPr>
        <w:t>46</w:t>
      </w:r>
      <w:r w:rsidRPr="00170441">
        <w:rPr>
          <w:rFonts w:ascii="Georgia" w:hAnsi="Georgia" w:cs="Arial"/>
          <w:sz w:val="22"/>
          <w:szCs w:val="22"/>
        </w:rPr>
        <w:t xml:space="preserve"> mesiaca.</w:t>
      </w:r>
      <w:r>
        <w:rPr>
          <w:rFonts w:ascii="Georgia" w:hAnsi="Georgia" w:cs="Arial"/>
          <w:sz w:val="22"/>
          <w:szCs w:val="22"/>
        </w:rPr>
        <w:t xml:space="preserve"> Trestné konania vedené na Špecializovanom trestnom súde boli právoplatne skončené v časovom horizonte priemerne </w:t>
      </w:r>
      <w:r>
        <w:rPr>
          <w:rFonts w:ascii="Georgia" w:hAnsi="Georgia" w:cs="Arial"/>
          <w:b/>
          <w:sz w:val="22"/>
          <w:szCs w:val="22"/>
        </w:rPr>
        <w:t>7,69</w:t>
      </w:r>
      <w:r>
        <w:rPr>
          <w:rFonts w:ascii="Georgia" w:hAnsi="Georgia" w:cs="Arial"/>
          <w:sz w:val="22"/>
          <w:szCs w:val="22"/>
        </w:rPr>
        <w:t xml:space="preserve"> mesiaca.  </w:t>
      </w:r>
    </w:p>
    <w:p w:rsidR="0095648F" w:rsidRDefault="0095648F" w:rsidP="00050293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170441" w:rsidRDefault="0095648F" w:rsidP="00FD405F">
      <w:pPr>
        <w:spacing w:line="276" w:lineRule="auto"/>
        <w:jc w:val="both"/>
        <w:rPr>
          <w:rFonts w:ascii="Georgia" w:hAnsi="Georgia" w:cs="Arial"/>
          <w:b/>
          <w:sz w:val="22"/>
          <w:szCs w:val="22"/>
        </w:rPr>
      </w:pPr>
      <w:r w:rsidRPr="00170441">
        <w:rPr>
          <w:rFonts w:ascii="Georgia" w:hAnsi="Georgia" w:cs="Arial"/>
          <w:sz w:val="22"/>
          <w:szCs w:val="22"/>
        </w:rPr>
        <w:t>V roku 201</w:t>
      </w:r>
      <w:r>
        <w:rPr>
          <w:rFonts w:ascii="Georgia" w:hAnsi="Georgia" w:cs="Arial"/>
          <w:sz w:val="22"/>
          <w:szCs w:val="22"/>
        </w:rPr>
        <w:t>3</w:t>
      </w:r>
      <w:r w:rsidRPr="00170441">
        <w:rPr>
          <w:rFonts w:ascii="Georgia" w:hAnsi="Georgia" w:cs="Arial"/>
          <w:sz w:val="22"/>
          <w:szCs w:val="22"/>
        </w:rPr>
        <w:t xml:space="preserve"> okresné súdy Slovenskej republiky vybavili </w:t>
      </w:r>
      <w:r w:rsidRPr="005C1C84">
        <w:rPr>
          <w:rFonts w:ascii="Georgia" w:hAnsi="Georgia" w:cs="Arial"/>
          <w:b/>
          <w:sz w:val="22"/>
          <w:szCs w:val="22"/>
        </w:rPr>
        <w:t xml:space="preserve">1 </w:t>
      </w:r>
      <w:r>
        <w:rPr>
          <w:rFonts w:ascii="Georgia" w:hAnsi="Georgia" w:cs="Arial"/>
          <w:b/>
          <w:sz w:val="22"/>
          <w:szCs w:val="22"/>
        </w:rPr>
        <w:t>929</w:t>
      </w:r>
      <w:r w:rsidRPr="00FD405F">
        <w:rPr>
          <w:rFonts w:ascii="Georgia" w:hAnsi="Georgia" w:cs="Arial"/>
          <w:sz w:val="22"/>
          <w:szCs w:val="22"/>
        </w:rPr>
        <w:t xml:space="preserve"> väzobne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  <w:r w:rsidRPr="00170441">
        <w:rPr>
          <w:rFonts w:ascii="Georgia" w:hAnsi="Georgia" w:cs="Arial"/>
          <w:sz w:val="22"/>
          <w:szCs w:val="22"/>
        </w:rPr>
        <w:t>stíhaných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  <w:r w:rsidRPr="00170441">
        <w:rPr>
          <w:rFonts w:ascii="Georgia" w:hAnsi="Georgia" w:cs="Arial"/>
          <w:sz w:val="22"/>
          <w:szCs w:val="22"/>
        </w:rPr>
        <w:t xml:space="preserve">osôb. </w:t>
      </w:r>
      <w:r>
        <w:rPr>
          <w:rFonts w:ascii="Georgia" w:hAnsi="Georgia" w:cs="Arial"/>
          <w:sz w:val="22"/>
          <w:szCs w:val="22"/>
        </w:rPr>
        <w:t xml:space="preserve">Priemerná dĺžka väzby bola </w:t>
      </w:r>
      <w:r>
        <w:rPr>
          <w:rFonts w:ascii="Georgia" w:hAnsi="Georgia" w:cs="Arial"/>
          <w:b/>
          <w:sz w:val="22"/>
          <w:szCs w:val="22"/>
        </w:rPr>
        <w:t>110</w:t>
      </w:r>
      <w:r>
        <w:rPr>
          <w:rFonts w:ascii="Georgia" w:hAnsi="Georgia" w:cs="Arial"/>
          <w:sz w:val="22"/>
          <w:szCs w:val="22"/>
        </w:rPr>
        <w:t xml:space="preserve"> dní. </w:t>
      </w:r>
      <w:r w:rsidRPr="00170441">
        <w:rPr>
          <w:rFonts w:ascii="Georgia" w:hAnsi="Georgia" w:cs="Arial"/>
          <w:sz w:val="22"/>
          <w:szCs w:val="22"/>
        </w:rPr>
        <w:t xml:space="preserve"> </w:t>
      </w:r>
      <w:r w:rsidRPr="00170441">
        <w:rPr>
          <w:rFonts w:ascii="Georgia" w:hAnsi="Georgia" w:cs="Arial"/>
          <w:b/>
          <w:sz w:val="22"/>
          <w:szCs w:val="22"/>
        </w:rPr>
        <w:t xml:space="preserve"> </w:t>
      </w:r>
    </w:p>
    <w:p w:rsidR="0095648F" w:rsidRDefault="0095648F" w:rsidP="00170441">
      <w:pPr>
        <w:spacing w:line="276" w:lineRule="auto"/>
        <w:ind w:firstLine="708"/>
        <w:jc w:val="both"/>
        <w:rPr>
          <w:rFonts w:ascii="Georgia" w:hAnsi="Georgia" w:cs="Arial"/>
          <w:sz w:val="22"/>
          <w:szCs w:val="22"/>
        </w:rPr>
      </w:pPr>
    </w:p>
    <w:p w:rsidR="0095648F" w:rsidRDefault="0095648F" w:rsidP="005C1C84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V roku 2013 bolo na probáciu pridelených </w:t>
      </w:r>
      <w:r>
        <w:rPr>
          <w:rFonts w:ascii="Georgia" w:hAnsi="Georgia" w:cs="Arial"/>
          <w:b/>
          <w:sz w:val="22"/>
          <w:szCs w:val="22"/>
        </w:rPr>
        <w:t xml:space="preserve">7 658 </w:t>
      </w:r>
      <w:r>
        <w:rPr>
          <w:rFonts w:ascii="Georgia" w:hAnsi="Georgia" w:cs="Arial"/>
          <w:sz w:val="22"/>
          <w:szCs w:val="22"/>
        </w:rPr>
        <w:t>osôb. Najväčší podiel tvoril trest povinnej práce s </w:t>
      </w:r>
      <w:r>
        <w:rPr>
          <w:rFonts w:ascii="Georgia" w:hAnsi="Georgia" w:cs="Arial"/>
          <w:b/>
          <w:sz w:val="22"/>
          <w:szCs w:val="22"/>
        </w:rPr>
        <w:t>2 214</w:t>
      </w:r>
      <w:r>
        <w:rPr>
          <w:rFonts w:ascii="Georgia" w:hAnsi="Georgia" w:cs="Arial"/>
          <w:sz w:val="22"/>
          <w:szCs w:val="22"/>
        </w:rPr>
        <w:t xml:space="preserve"> prípadmi. Podmienečný trest odňatia slobody s probačným dohľadom bol uložený </w:t>
      </w:r>
      <w:r>
        <w:rPr>
          <w:rFonts w:ascii="Georgia" w:hAnsi="Georgia" w:cs="Arial"/>
          <w:b/>
          <w:sz w:val="22"/>
          <w:szCs w:val="22"/>
        </w:rPr>
        <w:t>1 828</w:t>
      </w:r>
      <w:r>
        <w:rPr>
          <w:rFonts w:ascii="Georgia" w:hAnsi="Georgia" w:cs="Arial"/>
          <w:sz w:val="22"/>
          <w:szCs w:val="22"/>
        </w:rPr>
        <w:t xml:space="preserve"> odsúdeným. V </w:t>
      </w:r>
      <w:r>
        <w:rPr>
          <w:rFonts w:ascii="Georgia" w:hAnsi="Georgia" w:cs="Arial"/>
          <w:b/>
          <w:sz w:val="22"/>
          <w:szCs w:val="22"/>
        </w:rPr>
        <w:t>209</w:t>
      </w:r>
      <w:r>
        <w:rPr>
          <w:rFonts w:ascii="Georgia" w:hAnsi="Georgia" w:cs="Arial"/>
          <w:sz w:val="22"/>
          <w:szCs w:val="22"/>
        </w:rPr>
        <w:t xml:space="preserve"> prípadoch súdy rozhodli o nahradení väzby probačným dohľadom. </w:t>
      </w:r>
    </w:p>
    <w:p w:rsidR="0095648F" w:rsidRDefault="0095648F" w:rsidP="005C1C84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p w:rsidR="0095648F" w:rsidRPr="00E36386" w:rsidRDefault="0095648F" w:rsidP="005C1C84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V roku 2013 bolo ukončených </w:t>
      </w:r>
      <w:r>
        <w:rPr>
          <w:rFonts w:ascii="Georgia" w:hAnsi="Georgia" w:cs="Arial"/>
          <w:b/>
          <w:sz w:val="22"/>
          <w:szCs w:val="22"/>
        </w:rPr>
        <w:t>2 141</w:t>
      </w:r>
      <w:r>
        <w:rPr>
          <w:rFonts w:ascii="Georgia" w:hAnsi="Georgia" w:cs="Arial"/>
          <w:sz w:val="22"/>
          <w:szCs w:val="22"/>
        </w:rPr>
        <w:t xml:space="preserve"> probácii. Otvorených probácii zostalo </w:t>
      </w:r>
      <w:r>
        <w:rPr>
          <w:rFonts w:ascii="Georgia" w:hAnsi="Georgia" w:cs="Arial"/>
          <w:b/>
          <w:sz w:val="22"/>
          <w:szCs w:val="22"/>
        </w:rPr>
        <w:t>5 537</w:t>
      </w:r>
      <w:r>
        <w:rPr>
          <w:rFonts w:ascii="Georgia" w:hAnsi="Georgia" w:cs="Arial"/>
          <w:sz w:val="22"/>
          <w:szCs w:val="22"/>
        </w:rPr>
        <w:t xml:space="preserve">. </w:t>
      </w: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FA7DD3" w:rsidRDefault="0095648F" w:rsidP="00FA7DD3">
      <w:pPr>
        <w:spacing w:line="276" w:lineRule="auto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Mediácii bolo v roku 2013 pridelených </w:t>
      </w:r>
      <w:r>
        <w:rPr>
          <w:rFonts w:ascii="Georgia" w:hAnsi="Georgia"/>
          <w:b/>
          <w:sz w:val="22"/>
          <w:szCs w:val="22"/>
        </w:rPr>
        <w:t>1 746</w:t>
      </w:r>
      <w:r>
        <w:rPr>
          <w:rFonts w:ascii="Georgia" w:hAnsi="Georgia"/>
          <w:sz w:val="22"/>
          <w:szCs w:val="22"/>
        </w:rPr>
        <w:t xml:space="preserve">, na ktorých sa zúčastnilo </w:t>
      </w:r>
      <w:r>
        <w:rPr>
          <w:rFonts w:ascii="Georgia" w:hAnsi="Georgia"/>
          <w:b/>
          <w:sz w:val="22"/>
          <w:szCs w:val="22"/>
        </w:rPr>
        <w:t>3 017</w:t>
      </w:r>
      <w:r>
        <w:rPr>
          <w:rFonts w:ascii="Georgia" w:hAnsi="Georgia"/>
          <w:sz w:val="22"/>
          <w:szCs w:val="22"/>
        </w:rPr>
        <w:t xml:space="preserve"> osôb. Peňažná suma určená obciam a iným právnickým osobám predstavovala čiastku </w:t>
      </w:r>
      <w:r>
        <w:rPr>
          <w:rFonts w:ascii="Georgia" w:hAnsi="Georgia"/>
          <w:b/>
          <w:sz w:val="22"/>
          <w:szCs w:val="22"/>
        </w:rPr>
        <w:t xml:space="preserve">34 456 </w:t>
      </w:r>
      <w:r>
        <w:rPr>
          <w:rFonts w:ascii="Georgia" w:hAnsi="Georgia"/>
          <w:sz w:val="22"/>
          <w:szCs w:val="22"/>
        </w:rPr>
        <w:t xml:space="preserve">€  a poškodeným podľa osobitného zákona čiastku </w:t>
      </w:r>
      <w:r>
        <w:rPr>
          <w:rFonts w:ascii="Georgia" w:hAnsi="Georgia"/>
          <w:b/>
          <w:sz w:val="22"/>
          <w:szCs w:val="22"/>
        </w:rPr>
        <w:t>45 274</w:t>
      </w:r>
      <w:r>
        <w:rPr>
          <w:rFonts w:ascii="Georgia" w:hAnsi="Georgia"/>
          <w:sz w:val="22"/>
          <w:szCs w:val="22"/>
        </w:rPr>
        <w:t xml:space="preserve"> €. Poškodeným bola v roku 2013 uhradená náhrada škody vo výške </w:t>
      </w:r>
      <w:r>
        <w:rPr>
          <w:rFonts w:ascii="Georgia" w:hAnsi="Georgia"/>
          <w:b/>
          <w:sz w:val="22"/>
          <w:szCs w:val="22"/>
        </w:rPr>
        <w:t>560 020</w:t>
      </w:r>
      <w:r>
        <w:rPr>
          <w:rFonts w:ascii="Georgia" w:hAnsi="Georgia"/>
          <w:sz w:val="22"/>
          <w:szCs w:val="22"/>
        </w:rPr>
        <w:t xml:space="preserve"> €.</w:t>
      </w:r>
    </w:p>
    <w:p w:rsidR="0095648F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E36386" w:rsidRDefault="0095648F" w:rsidP="00E36386">
      <w:pPr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 xml:space="preserve">V roku 2013 sa podarilo ukončiť </w:t>
      </w:r>
      <w:r>
        <w:rPr>
          <w:rFonts w:ascii="Georgia" w:hAnsi="Georgia" w:cs="Arial"/>
          <w:b/>
          <w:sz w:val="22"/>
          <w:szCs w:val="22"/>
        </w:rPr>
        <w:t>1 192</w:t>
      </w:r>
      <w:r>
        <w:rPr>
          <w:rFonts w:ascii="Georgia" w:hAnsi="Georgia" w:cs="Arial"/>
          <w:sz w:val="22"/>
          <w:szCs w:val="22"/>
        </w:rPr>
        <w:t xml:space="preserve"> mediácií. Otvorených mediácií zostalo </w:t>
      </w:r>
      <w:r>
        <w:rPr>
          <w:rFonts w:ascii="Georgia" w:hAnsi="Georgia" w:cs="Arial"/>
          <w:b/>
          <w:sz w:val="22"/>
          <w:szCs w:val="22"/>
        </w:rPr>
        <w:t>555</w:t>
      </w:r>
      <w:r>
        <w:rPr>
          <w:rFonts w:ascii="Georgia" w:hAnsi="Georgia" w:cs="Arial"/>
          <w:sz w:val="22"/>
          <w:szCs w:val="22"/>
        </w:rPr>
        <w:t xml:space="preserve">. </w:t>
      </w:r>
    </w:p>
    <w:p w:rsidR="0095648F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:rsidR="0095648F" w:rsidRPr="00170441" w:rsidRDefault="0095648F" w:rsidP="005C1C8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sectPr w:rsidR="0095648F" w:rsidRPr="00170441" w:rsidSect="00565B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8F" w:rsidRDefault="0095648F">
      <w:r>
        <w:separator/>
      </w:r>
    </w:p>
  </w:endnote>
  <w:endnote w:type="continuationSeparator" w:id="0">
    <w:p w:rsidR="0095648F" w:rsidRDefault="00956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2250"/>
      <w:gridCol w:w="2113"/>
      <w:gridCol w:w="2390"/>
      <w:gridCol w:w="2427"/>
    </w:tblGrid>
    <w:tr w:rsidR="0095648F" w:rsidRPr="0082106F" w:rsidTr="009E3A69">
      <w:trPr>
        <w:trHeight w:val="304"/>
      </w:trPr>
      <w:tc>
        <w:tcPr>
          <w:tcW w:w="2358" w:type="dxa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Adresa:</w:t>
          </w:r>
        </w:p>
      </w:tc>
      <w:tc>
        <w:tcPr>
          <w:tcW w:w="2113" w:type="dxa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Telefón:</w:t>
          </w:r>
        </w:p>
      </w:tc>
      <w:tc>
        <w:tcPr>
          <w:tcW w:w="2390" w:type="dxa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Fax:</w:t>
          </w:r>
        </w:p>
      </w:tc>
      <w:tc>
        <w:tcPr>
          <w:tcW w:w="2427" w:type="dxa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Email:</w:t>
          </w:r>
        </w:p>
      </w:tc>
    </w:tr>
    <w:tr w:rsidR="0095648F" w:rsidRPr="0082106F" w:rsidTr="009E3A69">
      <w:tc>
        <w:tcPr>
          <w:tcW w:w="2358" w:type="dxa"/>
          <w:vAlign w:val="center"/>
        </w:tcPr>
        <w:p w:rsidR="0095648F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 xml:space="preserve">Župné nám. 13 </w:t>
          </w:r>
        </w:p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81311 Bratislava</w:t>
          </w:r>
        </w:p>
      </w:tc>
      <w:tc>
        <w:tcPr>
          <w:tcW w:w="2113" w:type="dxa"/>
          <w:vAlign w:val="center"/>
        </w:tcPr>
        <w:p w:rsidR="0095648F" w:rsidRPr="007B6B11" w:rsidRDefault="0095648F" w:rsidP="003875C1">
          <w:pPr>
            <w:pStyle w:val="Footer"/>
            <w:rPr>
              <w:rFonts w:ascii="Georgia" w:hAnsi="Georgia" w:cs="Arial"/>
              <w:sz w:val="18"/>
              <w:szCs w:val="18"/>
            </w:rPr>
          </w:pPr>
          <w:r>
            <w:rPr>
              <w:rFonts w:ascii="Georgia" w:hAnsi="Georgia" w:cs="Arial"/>
              <w:sz w:val="18"/>
              <w:szCs w:val="18"/>
            </w:rPr>
            <w:t>02/59353 510</w:t>
          </w:r>
        </w:p>
      </w:tc>
      <w:tc>
        <w:tcPr>
          <w:tcW w:w="2390" w:type="dxa"/>
          <w:vAlign w:val="center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r w:rsidRPr="007B6B11">
            <w:rPr>
              <w:rFonts w:ascii="Georgia" w:hAnsi="Georgia" w:cs="Arial"/>
              <w:sz w:val="18"/>
              <w:szCs w:val="18"/>
            </w:rPr>
            <w:t>02/5935</w:t>
          </w:r>
          <w:r>
            <w:rPr>
              <w:rFonts w:ascii="Georgia" w:hAnsi="Georgia" w:cs="Arial"/>
              <w:sz w:val="18"/>
              <w:szCs w:val="18"/>
            </w:rPr>
            <w:t>3616</w:t>
          </w:r>
        </w:p>
      </w:tc>
      <w:tc>
        <w:tcPr>
          <w:tcW w:w="2427" w:type="dxa"/>
          <w:vAlign w:val="center"/>
        </w:tcPr>
        <w:p w:rsidR="0095648F" w:rsidRPr="007B6B11" w:rsidRDefault="0095648F" w:rsidP="009E3A69">
          <w:pPr>
            <w:pStyle w:val="Footer"/>
            <w:rPr>
              <w:rFonts w:ascii="Georgia" w:hAnsi="Georgia" w:cs="Arial"/>
              <w:sz w:val="18"/>
              <w:szCs w:val="18"/>
            </w:rPr>
          </w:pPr>
          <w:hyperlink r:id="rId1" w:history="1">
            <w:r w:rsidRPr="00836B44">
              <w:rPr>
                <w:rStyle w:val="Hyperlink"/>
                <w:rFonts w:ascii="Georgia" w:hAnsi="Georgia" w:cs="Arial"/>
                <w:sz w:val="18"/>
                <w:szCs w:val="18"/>
              </w:rPr>
              <w:t>ms.stp.sek@justice.sk</w:t>
            </w:r>
          </w:hyperlink>
          <w:r>
            <w:rPr>
              <w:rFonts w:ascii="Georgia" w:hAnsi="Georgia" w:cs="Arial"/>
              <w:sz w:val="18"/>
              <w:szCs w:val="18"/>
            </w:rPr>
            <w:t xml:space="preserve"> </w:t>
          </w:r>
        </w:p>
      </w:tc>
    </w:tr>
  </w:tbl>
  <w:p w:rsidR="0095648F" w:rsidRDefault="0095648F" w:rsidP="006B0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8F" w:rsidRDefault="0095648F">
      <w:r>
        <w:separator/>
      </w:r>
    </w:p>
  </w:footnote>
  <w:footnote w:type="continuationSeparator" w:id="0">
    <w:p w:rsidR="0095648F" w:rsidRDefault="00956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16"/>
      <w:gridCol w:w="8886"/>
    </w:tblGrid>
    <w:tr w:rsidR="0095648F" w:rsidRPr="00E8544B" w:rsidTr="00F50B76">
      <w:trPr>
        <w:trHeight w:val="987"/>
      </w:trPr>
      <w:tc>
        <w:tcPr>
          <w:tcW w:w="288" w:type="dxa"/>
        </w:tcPr>
        <w:p w:rsidR="0095648F" w:rsidRPr="00E8544B" w:rsidRDefault="0095648F" w:rsidP="00F50B76">
          <w:pPr>
            <w:jc w:val="both"/>
            <w:rPr>
              <w:rFonts w:ascii="Arial" w:hAnsi="Arial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2049" type="#_x0000_t75" style="position:absolute;left:0;text-align:left;margin-left:.35pt;margin-top:-.95pt;width:29.6pt;height:36.75pt;z-index:251660288;visibility:visible">
                <v:imagedata r:id="rId1" o:title="" grayscale="t"/>
              </v:shape>
            </w:pict>
          </w:r>
          <w:r w:rsidRPr="00E8544B">
            <w:rPr>
              <w:b/>
            </w:rPr>
            <w:t xml:space="preserve">   </w:t>
          </w:r>
        </w:p>
        <w:p w:rsidR="0095648F" w:rsidRPr="00E8544B" w:rsidRDefault="0095648F" w:rsidP="00F50B76">
          <w:pPr>
            <w:tabs>
              <w:tab w:val="left" w:pos="1664"/>
              <w:tab w:val="left" w:pos="2469"/>
            </w:tabs>
            <w:jc w:val="both"/>
            <w:rPr>
              <w:rFonts w:ascii="Arial" w:hAnsi="Arial"/>
            </w:rPr>
          </w:pPr>
        </w:p>
      </w:tc>
      <w:tc>
        <w:tcPr>
          <w:tcW w:w="8922" w:type="dxa"/>
        </w:tcPr>
        <w:p w:rsidR="0095648F" w:rsidRPr="0082106F" w:rsidRDefault="0095648F" w:rsidP="00F50B76">
          <w:pPr>
            <w:ind w:left="563"/>
            <w:rPr>
              <w:rFonts w:ascii="Georgia" w:hAnsi="Georgia" w:cs="Arial"/>
            </w:rPr>
          </w:pPr>
          <w:r w:rsidRPr="0082106F">
            <w:rPr>
              <w:rFonts w:ascii="Georgia" w:hAnsi="Georgia" w:cs="Arial"/>
              <w:sz w:val="22"/>
              <w:szCs w:val="22"/>
            </w:rPr>
            <w:t>MINISTERSTVO SPRAVODLIVOSTI SLOVENSKEJ REPUBLIKY</w:t>
          </w:r>
        </w:p>
        <w:p w:rsidR="0095648F" w:rsidRPr="0082106F" w:rsidRDefault="0095648F" w:rsidP="00F50B76">
          <w:pPr>
            <w:tabs>
              <w:tab w:val="left" w:pos="1664"/>
              <w:tab w:val="left" w:pos="2469"/>
            </w:tabs>
            <w:ind w:left="563"/>
            <w:rPr>
              <w:rFonts w:ascii="Georgia" w:hAnsi="Georgia" w:cs="Arial"/>
            </w:rPr>
          </w:pPr>
          <w:r w:rsidRPr="0082106F">
            <w:rPr>
              <w:rFonts w:ascii="Georgia" w:hAnsi="Georgia" w:cs="Arial"/>
              <w:sz w:val="22"/>
              <w:szCs w:val="22"/>
            </w:rPr>
            <w:t xml:space="preserve">Sekcia </w:t>
          </w:r>
          <w:r>
            <w:rPr>
              <w:rFonts w:ascii="Georgia" w:hAnsi="Georgia" w:cs="Arial"/>
              <w:sz w:val="22"/>
              <w:szCs w:val="22"/>
            </w:rPr>
            <w:t xml:space="preserve">trestného práva </w:t>
          </w:r>
        </w:p>
        <w:p w:rsidR="0095648F" w:rsidRPr="007B6B11" w:rsidRDefault="0095648F" w:rsidP="00F50B76">
          <w:pPr>
            <w:tabs>
              <w:tab w:val="left" w:pos="1664"/>
              <w:tab w:val="left" w:pos="2469"/>
            </w:tabs>
            <w:ind w:left="563"/>
            <w:rPr>
              <w:rFonts w:ascii="Georgia" w:hAnsi="Georgia" w:cs="Arial"/>
              <w:color w:val="808080"/>
            </w:rPr>
          </w:pPr>
          <w:r>
            <w:rPr>
              <w:rFonts w:ascii="Georgia" w:hAnsi="Georgia" w:cs="Arial"/>
              <w:sz w:val="22"/>
              <w:szCs w:val="22"/>
            </w:rPr>
            <w:t>Odbor trestného súdnictva</w:t>
          </w:r>
        </w:p>
      </w:tc>
    </w:tr>
  </w:tbl>
  <w:p w:rsidR="0095648F" w:rsidRPr="00456066" w:rsidRDefault="0095648F" w:rsidP="004560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876"/>
    <w:multiLevelType w:val="hybridMultilevel"/>
    <w:tmpl w:val="F4C0141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236D12"/>
    <w:multiLevelType w:val="hybridMultilevel"/>
    <w:tmpl w:val="2F96ED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5454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1DF502D7"/>
    <w:multiLevelType w:val="hybridMultilevel"/>
    <w:tmpl w:val="4CB0660A"/>
    <w:lvl w:ilvl="0" w:tplc="F272CA52"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A7BBC"/>
    <w:multiLevelType w:val="hybridMultilevel"/>
    <w:tmpl w:val="832CD0A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3A7814"/>
    <w:multiLevelType w:val="hybridMultilevel"/>
    <w:tmpl w:val="36CE0906"/>
    <w:lvl w:ilvl="0" w:tplc="57A4ADE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D0398"/>
    <w:multiLevelType w:val="multilevel"/>
    <w:tmpl w:val="041B0023"/>
    <w:lvl w:ilvl="0">
      <w:start w:val="1"/>
      <w:numFmt w:val="upperRoman"/>
      <w:lvlText w:val="Článok %1."/>
      <w:lvlJc w:val="left"/>
      <w:rPr>
        <w:rFonts w:cs="Times New Roman"/>
      </w:rPr>
    </w:lvl>
    <w:lvl w:ilvl="1">
      <w:start w:val="1"/>
      <w:numFmt w:val="decimalZero"/>
      <w:isLgl/>
      <w:lvlText w:val="Sekcia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7">
    <w:nsid w:val="4ABD01D3"/>
    <w:multiLevelType w:val="hybridMultilevel"/>
    <w:tmpl w:val="3222C24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824B8C"/>
    <w:multiLevelType w:val="hybridMultilevel"/>
    <w:tmpl w:val="E12273C6"/>
    <w:lvl w:ilvl="0" w:tplc="72D6FA9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5ABC257A"/>
    <w:multiLevelType w:val="hybridMultilevel"/>
    <w:tmpl w:val="1AEE66CA"/>
    <w:lvl w:ilvl="0" w:tplc="6C627A4C">
      <w:start w:val="9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C4E"/>
    <w:rsid w:val="0000784B"/>
    <w:rsid w:val="00007A0C"/>
    <w:rsid w:val="000117F5"/>
    <w:rsid w:val="000214E1"/>
    <w:rsid w:val="000268C4"/>
    <w:rsid w:val="00030A17"/>
    <w:rsid w:val="00040D58"/>
    <w:rsid w:val="0004206D"/>
    <w:rsid w:val="00050293"/>
    <w:rsid w:val="00051576"/>
    <w:rsid w:val="00052CBB"/>
    <w:rsid w:val="0006484F"/>
    <w:rsid w:val="00066792"/>
    <w:rsid w:val="00072762"/>
    <w:rsid w:val="00083C77"/>
    <w:rsid w:val="0008480D"/>
    <w:rsid w:val="00086E2D"/>
    <w:rsid w:val="000B08BC"/>
    <w:rsid w:val="000E09FE"/>
    <w:rsid w:val="000E787E"/>
    <w:rsid w:val="00113DB8"/>
    <w:rsid w:val="00114F16"/>
    <w:rsid w:val="00124C10"/>
    <w:rsid w:val="0012573A"/>
    <w:rsid w:val="00143A33"/>
    <w:rsid w:val="00146459"/>
    <w:rsid w:val="00157748"/>
    <w:rsid w:val="00170441"/>
    <w:rsid w:val="00171DCB"/>
    <w:rsid w:val="00173B44"/>
    <w:rsid w:val="001860B7"/>
    <w:rsid w:val="001A3DCB"/>
    <w:rsid w:val="001C577E"/>
    <w:rsid w:val="001C5AF5"/>
    <w:rsid w:val="001D4D35"/>
    <w:rsid w:val="001E2B78"/>
    <w:rsid w:val="001E7CC3"/>
    <w:rsid w:val="001F7CA7"/>
    <w:rsid w:val="0022060C"/>
    <w:rsid w:val="00227024"/>
    <w:rsid w:val="002346EF"/>
    <w:rsid w:val="002366F4"/>
    <w:rsid w:val="0024161D"/>
    <w:rsid w:val="00253F28"/>
    <w:rsid w:val="0025410E"/>
    <w:rsid w:val="00256333"/>
    <w:rsid w:val="00256E5B"/>
    <w:rsid w:val="002616BD"/>
    <w:rsid w:val="00284CC4"/>
    <w:rsid w:val="00284F70"/>
    <w:rsid w:val="0029339C"/>
    <w:rsid w:val="002B0167"/>
    <w:rsid w:val="002C1FB5"/>
    <w:rsid w:val="002C4607"/>
    <w:rsid w:val="002D0A66"/>
    <w:rsid w:val="002E137C"/>
    <w:rsid w:val="002E2391"/>
    <w:rsid w:val="002E41E8"/>
    <w:rsid w:val="002F047A"/>
    <w:rsid w:val="00320D94"/>
    <w:rsid w:val="003224DE"/>
    <w:rsid w:val="003240CD"/>
    <w:rsid w:val="00324F30"/>
    <w:rsid w:val="00345B1F"/>
    <w:rsid w:val="00353CB0"/>
    <w:rsid w:val="00353D54"/>
    <w:rsid w:val="003566E0"/>
    <w:rsid w:val="00360004"/>
    <w:rsid w:val="003605A4"/>
    <w:rsid w:val="00363C8B"/>
    <w:rsid w:val="00372F32"/>
    <w:rsid w:val="00385C04"/>
    <w:rsid w:val="0038738B"/>
    <w:rsid w:val="003875C1"/>
    <w:rsid w:val="00395E4E"/>
    <w:rsid w:val="003B1D07"/>
    <w:rsid w:val="003D1223"/>
    <w:rsid w:val="003E2643"/>
    <w:rsid w:val="003E2DF4"/>
    <w:rsid w:val="003E6ED2"/>
    <w:rsid w:val="003F4A6A"/>
    <w:rsid w:val="003F5E17"/>
    <w:rsid w:val="0040007B"/>
    <w:rsid w:val="00404CAF"/>
    <w:rsid w:val="00412235"/>
    <w:rsid w:val="00413DE2"/>
    <w:rsid w:val="00424677"/>
    <w:rsid w:val="00427018"/>
    <w:rsid w:val="00430E2B"/>
    <w:rsid w:val="00450EFE"/>
    <w:rsid w:val="00456066"/>
    <w:rsid w:val="00466132"/>
    <w:rsid w:val="004675D5"/>
    <w:rsid w:val="00476957"/>
    <w:rsid w:val="00485FF8"/>
    <w:rsid w:val="004A4009"/>
    <w:rsid w:val="004B117B"/>
    <w:rsid w:val="004C1F93"/>
    <w:rsid w:val="004C5451"/>
    <w:rsid w:val="004D5564"/>
    <w:rsid w:val="004F15DB"/>
    <w:rsid w:val="004F2C00"/>
    <w:rsid w:val="004F6715"/>
    <w:rsid w:val="005034C4"/>
    <w:rsid w:val="0051239E"/>
    <w:rsid w:val="00516D49"/>
    <w:rsid w:val="005219EA"/>
    <w:rsid w:val="005262A3"/>
    <w:rsid w:val="00527BD7"/>
    <w:rsid w:val="0053303A"/>
    <w:rsid w:val="00541A54"/>
    <w:rsid w:val="0054530F"/>
    <w:rsid w:val="00551E05"/>
    <w:rsid w:val="00565B41"/>
    <w:rsid w:val="005966E0"/>
    <w:rsid w:val="005C01F8"/>
    <w:rsid w:val="005C1C84"/>
    <w:rsid w:val="005C241B"/>
    <w:rsid w:val="005C6C4E"/>
    <w:rsid w:val="005E57FF"/>
    <w:rsid w:val="005E70CF"/>
    <w:rsid w:val="005E72F4"/>
    <w:rsid w:val="005E738F"/>
    <w:rsid w:val="005F0916"/>
    <w:rsid w:val="00605B69"/>
    <w:rsid w:val="00607CC6"/>
    <w:rsid w:val="006216D8"/>
    <w:rsid w:val="00622B82"/>
    <w:rsid w:val="0063365C"/>
    <w:rsid w:val="006359B2"/>
    <w:rsid w:val="00642C21"/>
    <w:rsid w:val="00642E8B"/>
    <w:rsid w:val="0064791E"/>
    <w:rsid w:val="006555EB"/>
    <w:rsid w:val="006731E5"/>
    <w:rsid w:val="00677F77"/>
    <w:rsid w:val="00683178"/>
    <w:rsid w:val="00684177"/>
    <w:rsid w:val="00684705"/>
    <w:rsid w:val="00694A46"/>
    <w:rsid w:val="00695953"/>
    <w:rsid w:val="00695EB2"/>
    <w:rsid w:val="006B0ED3"/>
    <w:rsid w:val="006C15B7"/>
    <w:rsid w:val="006E07EC"/>
    <w:rsid w:val="006E39F0"/>
    <w:rsid w:val="006F26CC"/>
    <w:rsid w:val="00700837"/>
    <w:rsid w:val="0071436F"/>
    <w:rsid w:val="00717954"/>
    <w:rsid w:val="00735162"/>
    <w:rsid w:val="007718F2"/>
    <w:rsid w:val="00776362"/>
    <w:rsid w:val="00777353"/>
    <w:rsid w:val="0078063A"/>
    <w:rsid w:val="00784B35"/>
    <w:rsid w:val="007912C9"/>
    <w:rsid w:val="007A74A6"/>
    <w:rsid w:val="007B1B2A"/>
    <w:rsid w:val="007B6B11"/>
    <w:rsid w:val="007C458F"/>
    <w:rsid w:val="007C6691"/>
    <w:rsid w:val="007D6F72"/>
    <w:rsid w:val="007E3AF6"/>
    <w:rsid w:val="007F0C29"/>
    <w:rsid w:val="0082106F"/>
    <w:rsid w:val="00826F52"/>
    <w:rsid w:val="00827124"/>
    <w:rsid w:val="00834759"/>
    <w:rsid w:val="00836B44"/>
    <w:rsid w:val="008624B9"/>
    <w:rsid w:val="008627E3"/>
    <w:rsid w:val="008653CA"/>
    <w:rsid w:val="00867F89"/>
    <w:rsid w:val="00892398"/>
    <w:rsid w:val="008A1F4D"/>
    <w:rsid w:val="008A3B49"/>
    <w:rsid w:val="008B4D38"/>
    <w:rsid w:val="008C2A77"/>
    <w:rsid w:val="008C5892"/>
    <w:rsid w:val="008C69E4"/>
    <w:rsid w:val="008D19BF"/>
    <w:rsid w:val="008D35FE"/>
    <w:rsid w:val="008E3355"/>
    <w:rsid w:val="008E7F5D"/>
    <w:rsid w:val="008F3E9D"/>
    <w:rsid w:val="009344BB"/>
    <w:rsid w:val="009416A4"/>
    <w:rsid w:val="0095211C"/>
    <w:rsid w:val="00952B0B"/>
    <w:rsid w:val="0095648F"/>
    <w:rsid w:val="0096016B"/>
    <w:rsid w:val="00974B9F"/>
    <w:rsid w:val="009E2DB1"/>
    <w:rsid w:val="009E3A69"/>
    <w:rsid w:val="00A40A46"/>
    <w:rsid w:val="00A66FFE"/>
    <w:rsid w:val="00A6790D"/>
    <w:rsid w:val="00A71FAC"/>
    <w:rsid w:val="00A75728"/>
    <w:rsid w:val="00A8230B"/>
    <w:rsid w:val="00A82817"/>
    <w:rsid w:val="00A9708B"/>
    <w:rsid w:val="00AB699B"/>
    <w:rsid w:val="00AB7623"/>
    <w:rsid w:val="00AC1477"/>
    <w:rsid w:val="00AD6D9C"/>
    <w:rsid w:val="00AE1FB9"/>
    <w:rsid w:val="00AE2FE5"/>
    <w:rsid w:val="00AF21DD"/>
    <w:rsid w:val="00B059D6"/>
    <w:rsid w:val="00B640DA"/>
    <w:rsid w:val="00B6474B"/>
    <w:rsid w:val="00B75E88"/>
    <w:rsid w:val="00B87CD0"/>
    <w:rsid w:val="00B87CDE"/>
    <w:rsid w:val="00B97710"/>
    <w:rsid w:val="00BA0911"/>
    <w:rsid w:val="00BA4C6F"/>
    <w:rsid w:val="00BC3AED"/>
    <w:rsid w:val="00BD6BB1"/>
    <w:rsid w:val="00BE58F2"/>
    <w:rsid w:val="00BE7D35"/>
    <w:rsid w:val="00BF12BA"/>
    <w:rsid w:val="00BF2C47"/>
    <w:rsid w:val="00BF57D6"/>
    <w:rsid w:val="00BF5B0A"/>
    <w:rsid w:val="00C07A90"/>
    <w:rsid w:val="00C13A69"/>
    <w:rsid w:val="00C2315D"/>
    <w:rsid w:val="00C2330F"/>
    <w:rsid w:val="00C24E3F"/>
    <w:rsid w:val="00C270BC"/>
    <w:rsid w:val="00C270E6"/>
    <w:rsid w:val="00C309CD"/>
    <w:rsid w:val="00C30DDB"/>
    <w:rsid w:val="00C3522C"/>
    <w:rsid w:val="00C40280"/>
    <w:rsid w:val="00C46104"/>
    <w:rsid w:val="00C52B9F"/>
    <w:rsid w:val="00C67F31"/>
    <w:rsid w:val="00C72BA9"/>
    <w:rsid w:val="00C848E7"/>
    <w:rsid w:val="00C85FB6"/>
    <w:rsid w:val="00C86888"/>
    <w:rsid w:val="00C965B3"/>
    <w:rsid w:val="00CB5DE4"/>
    <w:rsid w:val="00CD0E65"/>
    <w:rsid w:val="00CE5934"/>
    <w:rsid w:val="00CF132C"/>
    <w:rsid w:val="00D0026B"/>
    <w:rsid w:val="00D0191E"/>
    <w:rsid w:val="00D02F7D"/>
    <w:rsid w:val="00D05017"/>
    <w:rsid w:val="00D15FCC"/>
    <w:rsid w:val="00D203A9"/>
    <w:rsid w:val="00D237B5"/>
    <w:rsid w:val="00D361B9"/>
    <w:rsid w:val="00D41FB1"/>
    <w:rsid w:val="00D6552A"/>
    <w:rsid w:val="00D84ED5"/>
    <w:rsid w:val="00D86F68"/>
    <w:rsid w:val="00DA5E30"/>
    <w:rsid w:val="00DC1EFF"/>
    <w:rsid w:val="00DC452B"/>
    <w:rsid w:val="00DC756C"/>
    <w:rsid w:val="00DC7D2F"/>
    <w:rsid w:val="00DF3768"/>
    <w:rsid w:val="00E0071F"/>
    <w:rsid w:val="00E03F7B"/>
    <w:rsid w:val="00E0611C"/>
    <w:rsid w:val="00E25D57"/>
    <w:rsid w:val="00E304A6"/>
    <w:rsid w:val="00E32EFC"/>
    <w:rsid w:val="00E352B9"/>
    <w:rsid w:val="00E36386"/>
    <w:rsid w:val="00E509CF"/>
    <w:rsid w:val="00E54D96"/>
    <w:rsid w:val="00E54FE9"/>
    <w:rsid w:val="00E60EC8"/>
    <w:rsid w:val="00E634BB"/>
    <w:rsid w:val="00E647A7"/>
    <w:rsid w:val="00E677F3"/>
    <w:rsid w:val="00E728DB"/>
    <w:rsid w:val="00E8544B"/>
    <w:rsid w:val="00E90245"/>
    <w:rsid w:val="00E93ADB"/>
    <w:rsid w:val="00E94C7C"/>
    <w:rsid w:val="00E94E12"/>
    <w:rsid w:val="00E95814"/>
    <w:rsid w:val="00EA0A73"/>
    <w:rsid w:val="00EA3959"/>
    <w:rsid w:val="00EB3422"/>
    <w:rsid w:val="00EB7729"/>
    <w:rsid w:val="00EB7EF2"/>
    <w:rsid w:val="00ED0BED"/>
    <w:rsid w:val="00EE5F9F"/>
    <w:rsid w:val="00EF6761"/>
    <w:rsid w:val="00EF765A"/>
    <w:rsid w:val="00F109D0"/>
    <w:rsid w:val="00F15C09"/>
    <w:rsid w:val="00F24EF0"/>
    <w:rsid w:val="00F32F15"/>
    <w:rsid w:val="00F35074"/>
    <w:rsid w:val="00F353C9"/>
    <w:rsid w:val="00F41E05"/>
    <w:rsid w:val="00F47C99"/>
    <w:rsid w:val="00F50B76"/>
    <w:rsid w:val="00F538AE"/>
    <w:rsid w:val="00F73397"/>
    <w:rsid w:val="00F7387F"/>
    <w:rsid w:val="00F73EB4"/>
    <w:rsid w:val="00F7563A"/>
    <w:rsid w:val="00F8205F"/>
    <w:rsid w:val="00FA7DD3"/>
    <w:rsid w:val="00FB2A73"/>
    <w:rsid w:val="00FB651F"/>
    <w:rsid w:val="00FD405F"/>
    <w:rsid w:val="00FD7CEE"/>
    <w:rsid w:val="00FE0611"/>
    <w:rsid w:val="00FE3375"/>
    <w:rsid w:val="00FF5EA2"/>
    <w:rsid w:val="00FF66CA"/>
    <w:rsid w:val="00FF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5564"/>
    <w:pPr>
      <w:keepNext/>
      <w:jc w:val="both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044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0441"/>
    <w:pPr>
      <w:keepNext/>
      <w:keepLines/>
      <w:spacing w:before="200"/>
      <w:ind w:left="720" w:hanging="432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70441"/>
    <w:pPr>
      <w:keepNext/>
      <w:keepLines/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70441"/>
    <w:pPr>
      <w:keepNext/>
      <w:keepLines/>
      <w:spacing w:before="200"/>
      <w:ind w:left="1008" w:hanging="432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70441"/>
    <w:pPr>
      <w:keepNext/>
      <w:keepLines/>
      <w:spacing w:before="200"/>
      <w:ind w:left="1152" w:hanging="432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70441"/>
    <w:pPr>
      <w:keepNext/>
      <w:keepLines/>
      <w:spacing w:before="200"/>
      <w:ind w:left="1296" w:hanging="288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70441"/>
    <w:pPr>
      <w:keepNext/>
      <w:keepLines/>
      <w:spacing w:before="200"/>
      <w:ind w:left="1440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70441"/>
    <w:pPr>
      <w:keepNext/>
      <w:keepLines/>
      <w:spacing w:before="200"/>
      <w:ind w:left="1584" w:hanging="14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0441"/>
    <w:rPr>
      <w:rFonts w:ascii="Arial" w:hAnsi="Arial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70441"/>
    <w:rPr>
      <w:rFonts w:ascii="Cambria" w:eastAsia="Times New Roman" w:hAnsi="Cambria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70441"/>
    <w:rPr>
      <w:rFonts w:ascii="Cambria" w:eastAsia="Times New Roman" w:hAnsi="Cambria"/>
      <w:b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70441"/>
    <w:rPr>
      <w:rFonts w:ascii="Cambria" w:eastAsia="Times New Roman" w:hAnsi="Cambria"/>
      <w:b/>
      <w:i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70441"/>
    <w:rPr>
      <w:rFonts w:ascii="Cambria" w:eastAsia="Times New Roman" w:hAnsi="Cambria"/>
      <w:color w:val="243F60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70441"/>
    <w:rPr>
      <w:rFonts w:ascii="Cambria" w:eastAsia="Times New Roman" w:hAnsi="Cambria"/>
      <w:i/>
      <w:color w:val="243F60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70441"/>
    <w:rPr>
      <w:rFonts w:ascii="Cambria" w:eastAsia="Times New Roman" w:hAnsi="Cambria"/>
      <w:i/>
      <w:color w:val="404040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70441"/>
    <w:rPr>
      <w:rFonts w:ascii="Cambria" w:eastAsia="Times New Roman" w:hAnsi="Cambria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70441"/>
    <w:rPr>
      <w:rFonts w:ascii="Cambria" w:eastAsia="Times New Roman" w:hAnsi="Cambria"/>
      <w:i/>
      <w:color w:val="404040"/>
    </w:rPr>
  </w:style>
  <w:style w:type="paragraph" w:styleId="BodyText">
    <w:name w:val="Body Text"/>
    <w:basedOn w:val="Normal"/>
    <w:link w:val="BodyTextChar"/>
    <w:uiPriority w:val="99"/>
    <w:rsid w:val="004D5564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7100D"/>
    <w:rPr>
      <w:sz w:val="24"/>
      <w:szCs w:val="24"/>
    </w:rPr>
  </w:style>
  <w:style w:type="paragraph" w:customStyle="1" w:styleId="default">
    <w:name w:val="default"/>
    <w:basedOn w:val="Normal"/>
    <w:uiPriority w:val="99"/>
    <w:rsid w:val="00867F89"/>
    <w:pPr>
      <w:autoSpaceDE w:val="0"/>
      <w:autoSpaceDN w:val="0"/>
    </w:pPr>
    <w:rPr>
      <w:color w:val="000000"/>
    </w:rPr>
  </w:style>
  <w:style w:type="paragraph" w:customStyle="1" w:styleId="CM1">
    <w:name w:val="CM1"/>
    <w:basedOn w:val="default"/>
    <w:next w:val="default"/>
    <w:uiPriority w:val="99"/>
    <w:rsid w:val="00DC7D2F"/>
    <w:pPr>
      <w:adjustRightInd w:val="0"/>
    </w:pPr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DC7D2F"/>
    <w:pPr>
      <w:adjustRightInd w:val="0"/>
    </w:pPr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uiPriority w:val="99"/>
    <w:rsid w:val="00DC7D2F"/>
    <w:pPr>
      <w:adjustRightInd w:val="0"/>
    </w:pPr>
    <w:rPr>
      <w:rFonts w:ascii="EUAlbertina" w:hAnsi="EUAlbertina"/>
      <w:color w:val="auto"/>
    </w:rPr>
  </w:style>
  <w:style w:type="paragraph" w:styleId="BalloonText">
    <w:name w:val="Balloon Text"/>
    <w:basedOn w:val="Normal"/>
    <w:link w:val="BalloonTextChar"/>
    <w:uiPriority w:val="99"/>
    <w:semiHidden/>
    <w:rsid w:val="00C965B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0441"/>
    <w:rPr>
      <w:rFonts w:ascii="Tahoma" w:hAnsi="Tahoma"/>
      <w:sz w:val="16"/>
    </w:rPr>
  </w:style>
  <w:style w:type="character" w:styleId="PlaceholderText">
    <w:name w:val="Placeholder Text"/>
    <w:basedOn w:val="DefaultParagraphFont"/>
    <w:uiPriority w:val="99"/>
    <w:semiHidden/>
    <w:rsid w:val="006B0ED3"/>
    <w:rPr>
      <w:color w:val="808080"/>
    </w:rPr>
  </w:style>
  <w:style w:type="paragraph" w:styleId="Header">
    <w:name w:val="header"/>
    <w:basedOn w:val="Normal"/>
    <w:link w:val="HeaderChar"/>
    <w:uiPriority w:val="99"/>
    <w:rsid w:val="006B0E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6066"/>
    <w:rPr>
      <w:sz w:val="24"/>
    </w:rPr>
  </w:style>
  <w:style w:type="paragraph" w:styleId="Footer">
    <w:name w:val="footer"/>
    <w:basedOn w:val="Normal"/>
    <w:link w:val="FooterChar"/>
    <w:uiPriority w:val="99"/>
    <w:rsid w:val="006B0E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ED3"/>
    <w:rPr>
      <w:sz w:val="24"/>
      <w:lang w:val="sk-SK" w:eastAsia="sk-SK"/>
    </w:rPr>
  </w:style>
  <w:style w:type="character" w:styleId="Hyperlink">
    <w:name w:val="Hyperlink"/>
    <w:basedOn w:val="DefaultParagraphFont"/>
    <w:uiPriority w:val="99"/>
    <w:rsid w:val="006B0ED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827124"/>
    <w:rPr>
      <w:rFonts w:cs="Times New Roman"/>
      <w:b/>
    </w:rPr>
  </w:style>
  <w:style w:type="paragraph" w:styleId="NoSpacing">
    <w:name w:val="No Spacing"/>
    <w:uiPriority w:val="99"/>
    <w:qFormat/>
    <w:rsid w:val="00456066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826F52"/>
    <w:pPr>
      <w:ind w:left="720"/>
      <w:contextualSpacing/>
    </w:pPr>
    <w:rPr>
      <w:lang w:eastAsia="cs-CZ"/>
    </w:rPr>
  </w:style>
  <w:style w:type="character" w:customStyle="1" w:styleId="tl1">
    <w:name w:val="Štýl1"/>
    <w:uiPriority w:val="99"/>
    <w:rsid w:val="00826F52"/>
    <w:rPr>
      <w:rFonts w:ascii="Georgia" w:hAnsi="Georgia"/>
    </w:rPr>
  </w:style>
  <w:style w:type="paragraph" w:styleId="DocumentMap">
    <w:name w:val="Document Map"/>
    <w:basedOn w:val="Normal"/>
    <w:link w:val="DocumentMapChar"/>
    <w:uiPriority w:val="99"/>
    <w:rsid w:val="00170441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170441"/>
    <w:rPr>
      <w:rFonts w:ascii="Tahoma" w:eastAsia="Times New Roman" w:hAnsi="Tahoma"/>
      <w:sz w:val="16"/>
    </w:rPr>
  </w:style>
  <w:style w:type="table" w:styleId="TableGrid">
    <w:name w:val="Table Grid"/>
    <w:basedOn w:val="TableNormal"/>
    <w:uiPriority w:val="99"/>
    <w:rsid w:val="00170441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4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14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14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404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.stp.sek@justice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539</Words>
  <Characters>3078</Characters>
  <Application>Microsoft Office Outlook</Application>
  <DocSecurity>0</DocSecurity>
  <Lines>0</Lines>
  <Paragraphs>0</Paragraphs>
  <ScaleCrop>false</ScaleCrop>
  <Company>MSSR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SPRAVODLIVOSTI</dc:title>
  <dc:subject/>
  <dc:creator>lucia.patkoloova</dc:creator>
  <cp:keywords/>
  <dc:description/>
  <cp:lastModifiedBy>zuzana.asvanyiova</cp:lastModifiedBy>
  <cp:revision>2</cp:revision>
  <cp:lastPrinted>2014-02-25T13:03:00Z</cp:lastPrinted>
  <dcterms:created xsi:type="dcterms:W3CDTF">2014-06-10T07:08:00Z</dcterms:created>
  <dcterms:modified xsi:type="dcterms:W3CDTF">2014-06-10T07:08:00Z</dcterms:modified>
</cp:coreProperties>
</file>