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3A1ED" w14:textId="465303D5" w:rsidR="00A15CE0" w:rsidRPr="00EB09D5" w:rsidRDefault="002900CF">
      <w:pPr>
        <w:spacing w:line="234" w:lineRule="auto"/>
        <w:ind w:right="16"/>
        <w:jc w:val="center"/>
        <w:rPr>
          <w:sz w:val="20"/>
          <w:szCs w:val="20"/>
        </w:rPr>
      </w:pPr>
      <w:bookmarkStart w:id="0" w:name="page1"/>
      <w:bookmarkEnd w:id="0"/>
      <w:r w:rsidRPr="00EB09D5">
        <w:rPr>
          <w:rFonts w:eastAsia="Times New Roman"/>
          <w:b/>
          <w:bCs/>
          <w:sz w:val="24"/>
          <w:szCs w:val="24"/>
        </w:rPr>
        <w:t>Rokovací poriadok Rady vlády Slovenskej republiky pre ľudské práva a rodovú rovnosť</w:t>
      </w:r>
    </w:p>
    <w:p w14:paraId="5317DAC9" w14:textId="77777777" w:rsidR="00A15CE0" w:rsidRPr="00EB09D5" w:rsidRDefault="00A15CE0">
      <w:pPr>
        <w:spacing w:line="285" w:lineRule="exact"/>
        <w:rPr>
          <w:sz w:val="24"/>
          <w:szCs w:val="24"/>
        </w:rPr>
      </w:pPr>
    </w:p>
    <w:p w14:paraId="55313B1E" w14:textId="5AC1FB9F" w:rsidR="00A15CE0" w:rsidRPr="00EB09D5" w:rsidRDefault="002900CF">
      <w:pPr>
        <w:spacing w:line="237" w:lineRule="auto"/>
        <w:ind w:left="4" w:firstLine="540"/>
        <w:jc w:val="both"/>
        <w:rPr>
          <w:sz w:val="20"/>
          <w:szCs w:val="20"/>
        </w:rPr>
      </w:pPr>
      <w:r w:rsidRPr="00EB09D5">
        <w:rPr>
          <w:rFonts w:eastAsia="Times New Roman"/>
          <w:sz w:val="24"/>
          <w:szCs w:val="24"/>
        </w:rPr>
        <w:t>Rada vlády Slovenskej republiky pre ľudské práva</w:t>
      </w:r>
      <w:r w:rsidR="00433214" w:rsidRPr="00EB09D5">
        <w:rPr>
          <w:rFonts w:eastAsia="Times New Roman"/>
          <w:sz w:val="24"/>
          <w:szCs w:val="24"/>
        </w:rPr>
        <w:t xml:space="preserve"> </w:t>
      </w:r>
      <w:r w:rsidRPr="00EB09D5">
        <w:rPr>
          <w:rFonts w:eastAsia="Times New Roman"/>
          <w:sz w:val="24"/>
          <w:szCs w:val="24"/>
        </w:rPr>
        <w:t>a rodovú rovnosť (ďalej len „rada“) v zmysle čl. 8 ods. 8 Štatútu Rady vlády Slovenskej republiky pre ľudské práva</w:t>
      </w:r>
      <w:r w:rsidR="00010F10" w:rsidRPr="00EB09D5">
        <w:rPr>
          <w:rFonts w:eastAsia="Times New Roman"/>
          <w:sz w:val="24"/>
          <w:szCs w:val="24"/>
        </w:rPr>
        <w:t xml:space="preserve"> </w:t>
      </w:r>
      <w:r w:rsidRPr="00EB09D5">
        <w:rPr>
          <w:rFonts w:eastAsia="Times New Roman"/>
          <w:sz w:val="24"/>
          <w:szCs w:val="24"/>
        </w:rPr>
        <w:t xml:space="preserve">a rodovú rovnosť </w:t>
      </w:r>
      <w:r w:rsidRPr="00EB09D5">
        <w:rPr>
          <w:rFonts w:eastAsia="Times New Roman"/>
          <w:bCs/>
          <w:color w:val="000000" w:themeColor="text1"/>
          <w:sz w:val="24"/>
          <w:szCs w:val="24"/>
        </w:rPr>
        <w:t>(ďalej len „štatút</w:t>
      </w:r>
      <w:r w:rsidRPr="00EB09D5">
        <w:rPr>
          <w:rFonts w:eastAsia="Times New Roman"/>
          <w:color w:val="000000" w:themeColor="text1"/>
          <w:sz w:val="24"/>
          <w:szCs w:val="24"/>
        </w:rPr>
        <w:t xml:space="preserve"> </w:t>
      </w:r>
      <w:r w:rsidRPr="00EB09D5">
        <w:rPr>
          <w:rFonts w:eastAsia="Times New Roman"/>
          <w:bCs/>
          <w:color w:val="000000" w:themeColor="text1"/>
          <w:sz w:val="24"/>
          <w:szCs w:val="24"/>
        </w:rPr>
        <w:t>rady“)</w:t>
      </w:r>
      <w:r w:rsidRPr="00EB09D5">
        <w:rPr>
          <w:rFonts w:eastAsia="Times New Roman"/>
          <w:color w:val="000000" w:themeColor="text1"/>
          <w:sz w:val="24"/>
          <w:szCs w:val="24"/>
        </w:rPr>
        <w:t xml:space="preserve"> </w:t>
      </w:r>
      <w:r w:rsidRPr="00EB09D5">
        <w:rPr>
          <w:rFonts w:eastAsia="Times New Roman"/>
          <w:sz w:val="24"/>
          <w:szCs w:val="24"/>
        </w:rPr>
        <w:t>svojím uznesením zo dňa 12.04.2011 vydáva Rokovací poriadok rady („ďalej len „rokovací poriadok“).</w:t>
      </w:r>
    </w:p>
    <w:p w14:paraId="5CB5CF87" w14:textId="77777777" w:rsidR="00A15CE0" w:rsidRPr="00EB09D5" w:rsidRDefault="00A15CE0">
      <w:pPr>
        <w:spacing w:line="286" w:lineRule="exact"/>
        <w:rPr>
          <w:sz w:val="24"/>
          <w:szCs w:val="24"/>
        </w:rPr>
      </w:pPr>
    </w:p>
    <w:p w14:paraId="45E761E2" w14:textId="77777777" w:rsidR="00A15CE0" w:rsidRPr="00EB09D5" w:rsidRDefault="002900CF">
      <w:pPr>
        <w:ind w:right="16"/>
        <w:jc w:val="center"/>
        <w:rPr>
          <w:sz w:val="20"/>
          <w:szCs w:val="20"/>
        </w:rPr>
      </w:pPr>
      <w:r w:rsidRPr="00EB09D5">
        <w:rPr>
          <w:rFonts w:eastAsia="Times New Roman"/>
          <w:b/>
          <w:bCs/>
          <w:sz w:val="24"/>
          <w:szCs w:val="24"/>
        </w:rPr>
        <w:t>Čl. 1</w:t>
      </w:r>
    </w:p>
    <w:p w14:paraId="58A2EDE5" w14:textId="77777777" w:rsidR="00A15CE0" w:rsidRPr="00EB09D5" w:rsidRDefault="002900CF">
      <w:pPr>
        <w:ind w:right="-3"/>
        <w:jc w:val="center"/>
        <w:rPr>
          <w:sz w:val="20"/>
          <w:szCs w:val="20"/>
        </w:rPr>
      </w:pPr>
      <w:r w:rsidRPr="00EB09D5">
        <w:rPr>
          <w:rFonts w:eastAsia="Times New Roman"/>
          <w:b/>
          <w:bCs/>
          <w:sz w:val="24"/>
          <w:szCs w:val="24"/>
        </w:rPr>
        <w:t>Úvodné ustanovenia</w:t>
      </w:r>
    </w:p>
    <w:p w14:paraId="7D8D5F60" w14:textId="77777777" w:rsidR="00A15CE0" w:rsidRPr="00EB09D5" w:rsidRDefault="00A15CE0">
      <w:pPr>
        <w:spacing w:line="284" w:lineRule="exact"/>
        <w:rPr>
          <w:sz w:val="24"/>
          <w:szCs w:val="24"/>
        </w:rPr>
      </w:pPr>
    </w:p>
    <w:p w14:paraId="3390E960" w14:textId="77777777" w:rsidR="00A15CE0" w:rsidRPr="00EB09D5" w:rsidRDefault="002900CF">
      <w:pPr>
        <w:numPr>
          <w:ilvl w:val="0"/>
          <w:numId w:val="1"/>
        </w:numPr>
        <w:tabs>
          <w:tab w:val="left" w:pos="368"/>
        </w:tabs>
        <w:spacing w:line="234" w:lineRule="auto"/>
        <w:ind w:left="4" w:right="20" w:hanging="4"/>
        <w:rPr>
          <w:rFonts w:eastAsia="Times New Roman"/>
          <w:b/>
          <w:bCs/>
          <w:sz w:val="24"/>
          <w:szCs w:val="24"/>
        </w:rPr>
      </w:pPr>
      <w:r w:rsidRPr="00EB09D5">
        <w:rPr>
          <w:rFonts w:eastAsia="Times New Roman"/>
          <w:sz w:val="24"/>
          <w:szCs w:val="24"/>
        </w:rPr>
        <w:t>Rokovací poriadok upravuje prípravu zasadnutí rady, priebeh zasadnutí rady, prijímanie záverov a uznesení rady a vyhotovovanie zápisnice zo zasadnutí rady.</w:t>
      </w:r>
    </w:p>
    <w:p w14:paraId="5955D952" w14:textId="77777777" w:rsidR="00A15CE0" w:rsidRPr="00EB09D5" w:rsidRDefault="00A15CE0">
      <w:pPr>
        <w:spacing w:line="289" w:lineRule="exact"/>
        <w:rPr>
          <w:rFonts w:eastAsia="Times New Roman"/>
          <w:b/>
          <w:bCs/>
          <w:sz w:val="24"/>
          <w:szCs w:val="24"/>
        </w:rPr>
      </w:pPr>
    </w:p>
    <w:p w14:paraId="4D7F09A3" w14:textId="77777777" w:rsidR="00A15CE0" w:rsidRPr="00EB09D5" w:rsidRDefault="002900CF">
      <w:pPr>
        <w:numPr>
          <w:ilvl w:val="0"/>
          <w:numId w:val="1"/>
        </w:numPr>
        <w:tabs>
          <w:tab w:val="left" w:pos="390"/>
        </w:tabs>
        <w:spacing w:line="234" w:lineRule="auto"/>
        <w:ind w:left="4" w:right="20" w:hanging="4"/>
        <w:rPr>
          <w:rFonts w:eastAsia="Times New Roman"/>
          <w:b/>
          <w:bCs/>
          <w:sz w:val="24"/>
          <w:szCs w:val="24"/>
        </w:rPr>
      </w:pPr>
      <w:r w:rsidRPr="00EB09D5">
        <w:rPr>
          <w:rFonts w:eastAsia="Times New Roman"/>
          <w:sz w:val="24"/>
          <w:szCs w:val="24"/>
        </w:rPr>
        <w:t>Radu riadi jej predseda, ktorý za činnosť rady zodpovedá vláde Slovenskej republiky (ďalej len „vláda“).</w:t>
      </w:r>
    </w:p>
    <w:p w14:paraId="1DA18CCE" w14:textId="77777777" w:rsidR="00A15CE0" w:rsidRPr="00EB09D5" w:rsidRDefault="00A15CE0">
      <w:pPr>
        <w:spacing w:line="289" w:lineRule="exact"/>
        <w:rPr>
          <w:rFonts w:eastAsia="Times New Roman"/>
          <w:b/>
          <w:bCs/>
          <w:sz w:val="24"/>
          <w:szCs w:val="24"/>
        </w:rPr>
      </w:pPr>
    </w:p>
    <w:p w14:paraId="59A38577" w14:textId="77777777" w:rsidR="00A15CE0" w:rsidRPr="00EB09D5" w:rsidRDefault="002900CF">
      <w:pPr>
        <w:numPr>
          <w:ilvl w:val="0"/>
          <w:numId w:val="1"/>
        </w:numPr>
        <w:tabs>
          <w:tab w:val="left" w:pos="366"/>
        </w:tabs>
        <w:spacing w:line="234" w:lineRule="auto"/>
        <w:ind w:left="4" w:right="20" w:hanging="4"/>
        <w:rPr>
          <w:rFonts w:eastAsia="Times New Roman"/>
          <w:b/>
          <w:bCs/>
          <w:sz w:val="24"/>
          <w:szCs w:val="24"/>
        </w:rPr>
      </w:pPr>
      <w:r w:rsidRPr="00EB09D5">
        <w:rPr>
          <w:rFonts w:eastAsia="Times New Roman"/>
          <w:sz w:val="24"/>
          <w:szCs w:val="24"/>
        </w:rPr>
        <w:t>Predsedu rady počas jeho neprítomnosti zastupuje jeden z podpredsedov rady v rozsahu poverenia predsedu rady.</w:t>
      </w:r>
    </w:p>
    <w:p w14:paraId="7143FCC5" w14:textId="77777777" w:rsidR="00A15CE0" w:rsidRPr="00EB09D5" w:rsidRDefault="00A15CE0">
      <w:pPr>
        <w:spacing w:line="289" w:lineRule="exact"/>
        <w:rPr>
          <w:rFonts w:eastAsia="Times New Roman"/>
          <w:b/>
          <w:bCs/>
          <w:sz w:val="24"/>
          <w:szCs w:val="24"/>
        </w:rPr>
      </w:pPr>
    </w:p>
    <w:p w14:paraId="584509E6" w14:textId="5EDEE67D" w:rsidR="00A15CE0" w:rsidRPr="00EB09D5" w:rsidRDefault="002900CF">
      <w:pPr>
        <w:numPr>
          <w:ilvl w:val="0"/>
          <w:numId w:val="1"/>
        </w:numPr>
        <w:tabs>
          <w:tab w:val="left" w:pos="356"/>
        </w:tabs>
        <w:spacing w:line="234" w:lineRule="auto"/>
        <w:ind w:left="4" w:right="20" w:hanging="4"/>
        <w:rPr>
          <w:rFonts w:eastAsia="Times New Roman"/>
          <w:b/>
          <w:bCs/>
          <w:sz w:val="24"/>
          <w:szCs w:val="24"/>
        </w:rPr>
      </w:pPr>
      <w:r w:rsidRPr="00EB09D5">
        <w:rPr>
          <w:rFonts w:eastAsia="Times New Roman"/>
          <w:sz w:val="24"/>
          <w:szCs w:val="24"/>
        </w:rPr>
        <w:t>Rada plní úlohy v súlade s plánom práce vlády a s plánom legislatívnych úloh vlády a nadväzuje na ne.</w:t>
      </w:r>
    </w:p>
    <w:p w14:paraId="6B99B1F7" w14:textId="77777777" w:rsidR="00A15CE0" w:rsidRPr="00EB09D5" w:rsidRDefault="00A15CE0">
      <w:pPr>
        <w:spacing w:line="290" w:lineRule="exact"/>
        <w:rPr>
          <w:rFonts w:eastAsia="Times New Roman"/>
          <w:b/>
          <w:bCs/>
          <w:sz w:val="24"/>
          <w:szCs w:val="24"/>
        </w:rPr>
      </w:pPr>
    </w:p>
    <w:p w14:paraId="024D42C7" w14:textId="46B1957A" w:rsidR="00A15CE0" w:rsidRPr="00EB09D5" w:rsidRDefault="002900CF">
      <w:pPr>
        <w:numPr>
          <w:ilvl w:val="0"/>
          <w:numId w:val="1"/>
        </w:numPr>
        <w:tabs>
          <w:tab w:val="left" w:pos="450"/>
        </w:tabs>
        <w:spacing w:line="234" w:lineRule="auto"/>
        <w:ind w:left="4" w:right="20" w:hanging="4"/>
        <w:rPr>
          <w:rFonts w:eastAsia="Times New Roman"/>
          <w:b/>
          <w:bCs/>
          <w:sz w:val="24"/>
          <w:szCs w:val="24"/>
        </w:rPr>
      </w:pPr>
      <w:r w:rsidRPr="00EB09D5">
        <w:rPr>
          <w:rFonts w:eastAsia="Times New Roman"/>
          <w:sz w:val="24"/>
          <w:szCs w:val="24"/>
        </w:rPr>
        <w:t>Zasadnutie rady zvoláva predseda rady podľa potreby, najmenej štyrikrát ročne, elektronickou formou, najmenej 7 dní vopred.</w:t>
      </w:r>
    </w:p>
    <w:p w14:paraId="69076B16" w14:textId="77777777" w:rsidR="00A15CE0" w:rsidRPr="00EB09D5" w:rsidRDefault="00A15CE0">
      <w:pPr>
        <w:spacing w:line="289" w:lineRule="exact"/>
        <w:rPr>
          <w:rFonts w:eastAsia="Times New Roman"/>
          <w:b/>
          <w:bCs/>
          <w:sz w:val="24"/>
          <w:szCs w:val="24"/>
        </w:rPr>
      </w:pPr>
    </w:p>
    <w:p w14:paraId="5CA41DEF" w14:textId="283D408C" w:rsidR="00A15CE0" w:rsidRPr="00EB09D5" w:rsidRDefault="00827F8E">
      <w:pPr>
        <w:numPr>
          <w:ilvl w:val="0"/>
          <w:numId w:val="1"/>
        </w:numPr>
        <w:tabs>
          <w:tab w:val="left" w:pos="364"/>
        </w:tabs>
        <w:spacing w:line="234" w:lineRule="auto"/>
        <w:ind w:left="4" w:right="20" w:hanging="4"/>
        <w:rPr>
          <w:rFonts w:eastAsia="Times New Roman"/>
          <w:b/>
          <w:bCs/>
          <w:sz w:val="24"/>
          <w:szCs w:val="24"/>
        </w:rPr>
      </w:pPr>
      <w:r w:rsidRPr="00EB09D5">
        <w:rPr>
          <w:rFonts w:eastAsia="Times New Roman"/>
          <w:sz w:val="24"/>
          <w:szCs w:val="24"/>
        </w:rPr>
        <w:t>Mimoriadne z</w:t>
      </w:r>
      <w:r w:rsidR="002900CF" w:rsidRPr="00EB09D5">
        <w:rPr>
          <w:rFonts w:eastAsia="Times New Roman"/>
          <w:sz w:val="24"/>
          <w:szCs w:val="24"/>
        </w:rPr>
        <w:t>asadnutie rady predseda rady zvolá do 15 dní od doručenia písomnej žiadosti najmenej jednej tretiny členov rady.</w:t>
      </w:r>
    </w:p>
    <w:p w14:paraId="1F1D3CBB" w14:textId="77777777" w:rsidR="00A15CE0" w:rsidRPr="00EB09D5" w:rsidRDefault="00A15CE0">
      <w:pPr>
        <w:spacing w:line="282" w:lineRule="exact"/>
        <w:rPr>
          <w:sz w:val="24"/>
          <w:szCs w:val="24"/>
        </w:rPr>
      </w:pPr>
    </w:p>
    <w:p w14:paraId="3FAFA2C8" w14:textId="77777777" w:rsidR="00A15CE0" w:rsidRPr="00EB09D5" w:rsidRDefault="002900CF">
      <w:pPr>
        <w:ind w:right="16"/>
        <w:jc w:val="center"/>
        <w:rPr>
          <w:sz w:val="20"/>
          <w:szCs w:val="20"/>
        </w:rPr>
      </w:pPr>
      <w:r w:rsidRPr="00EB09D5">
        <w:rPr>
          <w:rFonts w:eastAsia="Times New Roman"/>
          <w:b/>
          <w:bCs/>
          <w:sz w:val="24"/>
          <w:szCs w:val="24"/>
        </w:rPr>
        <w:t>Čl. 2</w:t>
      </w:r>
    </w:p>
    <w:p w14:paraId="5004AC1F" w14:textId="77777777" w:rsidR="00A15CE0" w:rsidRPr="00EB09D5" w:rsidRDefault="002900CF">
      <w:pPr>
        <w:ind w:right="16"/>
        <w:jc w:val="center"/>
        <w:rPr>
          <w:sz w:val="20"/>
          <w:szCs w:val="20"/>
        </w:rPr>
      </w:pPr>
      <w:r w:rsidRPr="00EB09D5">
        <w:rPr>
          <w:rFonts w:eastAsia="Times New Roman"/>
          <w:b/>
          <w:bCs/>
          <w:sz w:val="24"/>
          <w:szCs w:val="24"/>
        </w:rPr>
        <w:t>Príprava zasadnutia rady</w:t>
      </w:r>
    </w:p>
    <w:p w14:paraId="5E4BF674" w14:textId="77777777" w:rsidR="00A15CE0" w:rsidRPr="00EB09D5" w:rsidRDefault="00A15CE0">
      <w:pPr>
        <w:spacing w:line="283" w:lineRule="exact"/>
        <w:rPr>
          <w:sz w:val="24"/>
          <w:szCs w:val="24"/>
        </w:rPr>
      </w:pPr>
    </w:p>
    <w:p w14:paraId="233AAE23" w14:textId="50E20D5B" w:rsidR="00A15CE0" w:rsidRPr="00EB09D5" w:rsidRDefault="002900CF">
      <w:pPr>
        <w:numPr>
          <w:ilvl w:val="0"/>
          <w:numId w:val="2"/>
        </w:numPr>
        <w:tabs>
          <w:tab w:val="left" w:pos="352"/>
        </w:tabs>
        <w:spacing w:line="234" w:lineRule="auto"/>
        <w:ind w:left="4" w:right="20" w:hanging="4"/>
        <w:rPr>
          <w:rFonts w:eastAsia="Times New Roman"/>
          <w:b/>
          <w:bCs/>
          <w:sz w:val="24"/>
          <w:szCs w:val="24"/>
        </w:rPr>
      </w:pPr>
      <w:r w:rsidRPr="00EB09D5">
        <w:rPr>
          <w:rFonts w:eastAsia="Times New Roman"/>
          <w:sz w:val="24"/>
          <w:szCs w:val="24"/>
        </w:rPr>
        <w:t xml:space="preserve">Zasadnutie rady zvoláva a vedie jej predseda. Program zasadnutia rady navrhuje predseda </w:t>
      </w:r>
      <w:r w:rsidR="005955BD" w:rsidRPr="00EB09D5">
        <w:rPr>
          <w:rFonts w:eastAsia="Times New Roman"/>
          <w:sz w:val="24"/>
          <w:szCs w:val="24"/>
        </w:rPr>
        <w:t xml:space="preserve"> aj </w:t>
      </w:r>
      <w:r w:rsidRPr="00EB09D5">
        <w:rPr>
          <w:rFonts w:eastAsia="Times New Roman"/>
          <w:sz w:val="24"/>
          <w:szCs w:val="24"/>
        </w:rPr>
        <w:t>na základe návrhov a odporúčaní členov rady.</w:t>
      </w:r>
    </w:p>
    <w:p w14:paraId="1D374112" w14:textId="77777777" w:rsidR="00A15CE0" w:rsidRPr="00EB09D5" w:rsidRDefault="00A15CE0">
      <w:pPr>
        <w:spacing w:line="290" w:lineRule="exact"/>
        <w:rPr>
          <w:rFonts w:eastAsia="Times New Roman"/>
          <w:b/>
          <w:bCs/>
          <w:sz w:val="24"/>
          <w:szCs w:val="24"/>
        </w:rPr>
      </w:pPr>
    </w:p>
    <w:p w14:paraId="6BC80689" w14:textId="77777777" w:rsidR="00A15CE0" w:rsidRPr="00EB09D5" w:rsidRDefault="002900CF">
      <w:pPr>
        <w:numPr>
          <w:ilvl w:val="0"/>
          <w:numId w:val="2"/>
        </w:numPr>
        <w:tabs>
          <w:tab w:val="left" w:pos="397"/>
        </w:tabs>
        <w:spacing w:line="237" w:lineRule="auto"/>
        <w:ind w:left="4" w:hanging="4"/>
        <w:jc w:val="both"/>
        <w:rPr>
          <w:rFonts w:eastAsia="Times New Roman"/>
          <w:b/>
          <w:bCs/>
          <w:sz w:val="24"/>
          <w:szCs w:val="24"/>
        </w:rPr>
      </w:pPr>
      <w:r w:rsidRPr="00EB09D5">
        <w:rPr>
          <w:rFonts w:eastAsia="Times New Roman"/>
          <w:sz w:val="24"/>
          <w:szCs w:val="24"/>
        </w:rPr>
        <w:t>Elektronickú pozvánku zasiela tajomník rady s návrhom programu zasadnutia rady a podkladovými materiálmi, ktoré majú byť predmetom rokovania podľa navrhnutého programu zasadnutia rady, každému členovi rady najneskôr 7 dní pred zasadnutím rady. K pozvánke sa pripájajú stanoviská a odporúčania výborov rady, jej pracovných skupín a stanoviská expertov.</w:t>
      </w:r>
    </w:p>
    <w:p w14:paraId="73AF9C0B" w14:textId="77777777" w:rsidR="00A15CE0" w:rsidRPr="00EB09D5" w:rsidRDefault="00A15CE0">
      <w:pPr>
        <w:spacing w:line="281" w:lineRule="exact"/>
        <w:rPr>
          <w:rFonts w:eastAsia="Times New Roman"/>
          <w:b/>
          <w:bCs/>
          <w:sz w:val="24"/>
          <w:szCs w:val="24"/>
        </w:rPr>
      </w:pPr>
    </w:p>
    <w:p w14:paraId="33024FF4" w14:textId="77777777" w:rsidR="00A15CE0" w:rsidRPr="00EB09D5" w:rsidRDefault="002900CF">
      <w:pPr>
        <w:numPr>
          <w:ilvl w:val="0"/>
          <w:numId w:val="2"/>
        </w:numPr>
        <w:tabs>
          <w:tab w:val="left" w:pos="344"/>
        </w:tabs>
        <w:ind w:left="344" w:hanging="344"/>
        <w:rPr>
          <w:rFonts w:eastAsia="Times New Roman"/>
          <w:bCs/>
          <w:color w:val="000000" w:themeColor="text1"/>
          <w:sz w:val="24"/>
          <w:szCs w:val="24"/>
        </w:rPr>
      </w:pPr>
      <w:r w:rsidRPr="00EB09D5">
        <w:rPr>
          <w:rFonts w:eastAsia="Times New Roman"/>
          <w:sz w:val="24"/>
          <w:szCs w:val="24"/>
        </w:rPr>
        <w:t xml:space="preserve">Materiál predkladaný na zasadnutie </w:t>
      </w:r>
      <w:r w:rsidRPr="00EB09D5">
        <w:rPr>
          <w:rFonts w:eastAsia="Times New Roman"/>
          <w:color w:val="000000" w:themeColor="text1"/>
          <w:sz w:val="24"/>
          <w:szCs w:val="24"/>
        </w:rPr>
        <w:t xml:space="preserve">rady </w:t>
      </w:r>
      <w:r w:rsidRPr="00EB09D5">
        <w:rPr>
          <w:rFonts w:eastAsia="Times New Roman"/>
          <w:bCs/>
          <w:color w:val="000000" w:themeColor="text1"/>
          <w:sz w:val="24"/>
          <w:szCs w:val="24"/>
        </w:rPr>
        <w:t>zasiela</w:t>
      </w:r>
      <w:r w:rsidRPr="00EB09D5">
        <w:rPr>
          <w:rFonts w:eastAsia="Times New Roman"/>
          <w:color w:val="000000" w:themeColor="text1"/>
          <w:sz w:val="24"/>
          <w:szCs w:val="24"/>
        </w:rPr>
        <w:t xml:space="preserve"> predkladateľ tajomníkovi rady najneskôr</w:t>
      </w:r>
    </w:p>
    <w:p w14:paraId="7AC20427" w14:textId="77777777" w:rsidR="00A15CE0" w:rsidRPr="00EB09D5" w:rsidRDefault="00A15CE0">
      <w:pPr>
        <w:spacing w:line="12" w:lineRule="exact"/>
        <w:rPr>
          <w:rFonts w:eastAsia="Times New Roman"/>
          <w:bCs/>
          <w:color w:val="000000" w:themeColor="text1"/>
          <w:sz w:val="24"/>
          <w:szCs w:val="24"/>
        </w:rPr>
      </w:pPr>
    </w:p>
    <w:p w14:paraId="00263512" w14:textId="02DEFC85" w:rsidR="00A15CE0" w:rsidRPr="00EB09D5" w:rsidRDefault="002900CF">
      <w:pPr>
        <w:spacing w:line="254" w:lineRule="auto"/>
        <w:ind w:left="4" w:right="20"/>
        <w:jc w:val="both"/>
        <w:rPr>
          <w:rFonts w:eastAsia="Times New Roman"/>
          <w:bCs/>
          <w:color w:val="000000" w:themeColor="text1"/>
          <w:sz w:val="24"/>
          <w:szCs w:val="24"/>
        </w:rPr>
      </w:pPr>
      <w:r w:rsidRPr="00EB09D5">
        <w:rPr>
          <w:rFonts w:eastAsia="Times New Roman"/>
          <w:bCs/>
          <w:color w:val="000000" w:themeColor="text1"/>
          <w:sz w:val="23"/>
          <w:szCs w:val="23"/>
        </w:rPr>
        <w:t xml:space="preserve">10 </w:t>
      </w:r>
      <w:r w:rsidRPr="00EB09D5">
        <w:rPr>
          <w:rFonts w:eastAsia="Times New Roman"/>
          <w:color w:val="000000" w:themeColor="text1"/>
          <w:sz w:val="23"/>
          <w:szCs w:val="23"/>
        </w:rPr>
        <w:t>dní pred zasadnutím rady.</w:t>
      </w:r>
      <w:r w:rsidRPr="00EB09D5">
        <w:rPr>
          <w:rFonts w:eastAsia="Times New Roman"/>
          <w:bCs/>
          <w:color w:val="000000" w:themeColor="text1"/>
          <w:sz w:val="23"/>
          <w:szCs w:val="23"/>
        </w:rPr>
        <w:t xml:space="preserve"> Návrh dodatku obsahujúci nový bod programu zasadnutia rady môže zaslať predkladateľ tajomníkovi rady najneskôr 5 dní pred zasadnutím rady.</w:t>
      </w:r>
    </w:p>
    <w:p w14:paraId="54CEB267" w14:textId="77777777" w:rsidR="00A15CE0" w:rsidRPr="00EB09D5" w:rsidRDefault="00A15CE0">
      <w:pPr>
        <w:spacing w:line="255" w:lineRule="exact"/>
        <w:rPr>
          <w:rFonts w:eastAsia="Times New Roman"/>
          <w:bCs/>
          <w:color w:val="000000" w:themeColor="text1"/>
          <w:sz w:val="24"/>
          <w:szCs w:val="24"/>
        </w:rPr>
      </w:pPr>
    </w:p>
    <w:p w14:paraId="189F0279" w14:textId="77777777" w:rsidR="00A15CE0" w:rsidRPr="00EB09D5" w:rsidRDefault="002900CF">
      <w:pPr>
        <w:numPr>
          <w:ilvl w:val="0"/>
          <w:numId w:val="2"/>
        </w:numPr>
        <w:tabs>
          <w:tab w:val="left" w:pos="344"/>
        </w:tabs>
        <w:ind w:left="344" w:hanging="344"/>
        <w:rPr>
          <w:rFonts w:eastAsia="Times New Roman"/>
          <w:bCs/>
          <w:color w:val="000000" w:themeColor="text1"/>
          <w:sz w:val="24"/>
          <w:szCs w:val="24"/>
        </w:rPr>
      </w:pPr>
      <w:r w:rsidRPr="00EB09D5">
        <w:rPr>
          <w:rFonts w:eastAsia="Times New Roman"/>
          <w:color w:val="000000" w:themeColor="text1"/>
          <w:sz w:val="24"/>
          <w:szCs w:val="24"/>
        </w:rPr>
        <w:t>Materiál predkladaný na zasadnutie rady obsahuje najmä:</w:t>
      </w:r>
    </w:p>
    <w:p w14:paraId="272E90C9" w14:textId="77777777" w:rsidR="00A15CE0" w:rsidRPr="00EB09D5" w:rsidRDefault="002900CF">
      <w:pPr>
        <w:numPr>
          <w:ilvl w:val="0"/>
          <w:numId w:val="3"/>
        </w:numPr>
        <w:tabs>
          <w:tab w:val="left" w:pos="544"/>
        </w:tabs>
        <w:ind w:left="544" w:hanging="544"/>
        <w:rPr>
          <w:rFonts w:eastAsia="Times New Roman"/>
          <w:b/>
          <w:bCs/>
          <w:sz w:val="24"/>
          <w:szCs w:val="24"/>
        </w:rPr>
      </w:pPr>
      <w:r w:rsidRPr="00EB09D5">
        <w:rPr>
          <w:rFonts w:eastAsia="Times New Roman"/>
          <w:sz w:val="24"/>
          <w:szCs w:val="24"/>
        </w:rPr>
        <w:t>názov materiálu,</w:t>
      </w:r>
    </w:p>
    <w:p w14:paraId="407524AB" w14:textId="77777777" w:rsidR="00A15CE0" w:rsidRPr="00EB09D5" w:rsidRDefault="002900CF">
      <w:pPr>
        <w:numPr>
          <w:ilvl w:val="0"/>
          <w:numId w:val="3"/>
        </w:numPr>
        <w:tabs>
          <w:tab w:val="left" w:pos="544"/>
        </w:tabs>
        <w:ind w:left="544" w:hanging="544"/>
        <w:rPr>
          <w:rFonts w:eastAsia="Times New Roman"/>
          <w:b/>
          <w:bCs/>
          <w:sz w:val="24"/>
          <w:szCs w:val="24"/>
        </w:rPr>
      </w:pPr>
      <w:r w:rsidRPr="00EB09D5">
        <w:rPr>
          <w:rFonts w:eastAsia="Times New Roman"/>
          <w:sz w:val="24"/>
          <w:szCs w:val="24"/>
        </w:rPr>
        <w:t>označenie predkladateľa materiálu,</w:t>
      </w:r>
    </w:p>
    <w:p w14:paraId="690C900E" w14:textId="77777777" w:rsidR="00A15CE0" w:rsidRPr="00EB09D5" w:rsidRDefault="002900CF">
      <w:pPr>
        <w:numPr>
          <w:ilvl w:val="0"/>
          <w:numId w:val="3"/>
        </w:numPr>
        <w:tabs>
          <w:tab w:val="left" w:pos="544"/>
        </w:tabs>
        <w:ind w:left="544" w:hanging="544"/>
        <w:rPr>
          <w:rFonts w:eastAsia="Times New Roman"/>
          <w:b/>
          <w:bCs/>
          <w:sz w:val="24"/>
          <w:szCs w:val="24"/>
        </w:rPr>
      </w:pPr>
      <w:r w:rsidRPr="00EB09D5">
        <w:rPr>
          <w:rFonts w:eastAsia="Times New Roman"/>
          <w:sz w:val="24"/>
          <w:szCs w:val="24"/>
        </w:rPr>
        <w:t>dátum predloženia materiálu,</w:t>
      </w:r>
    </w:p>
    <w:p w14:paraId="21FF646C" w14:textId="77777777" w:rsidR="00A15CE0" w:rsidRPr="00EB09D5" w:rsidRDefault="00A15CE0">
      <w:pPr>
        <w:sectPr w:rsidR="00A15CE0" w:rsidRPr="00EB09D5">
          <w:pgSz w:w="11900" w:h="16838"/>
          <w:pgMar w:top="1423" w:right="1406" w:bottom="1065" w:left="1416" w:header="0" w:footer="0" w:gutter="0"/>
          <w:cols w:space="708" w:equalWidth="0">
            <w:col w:w="9084"/>
          </w:cols>
        </w:sectPr>
      </w:pPr>
    </w:p>
    <w:p w14:paraId="5DBC35F6" w14:textId="77777777" w:rsidR="00A15CE0" w:rsidRPr="00EB09D5" w:rsidRDefault="002900CF">
      <w:pPr>
        <w:numPr>
          <w:ilvl w:val="0"/>
          <w:numId w:val="4"/>
        </w:numPr>
        <w:tabs>
          <w:tab w:val="left" w:pos="544"/>
        </w:tabs>
        <w:ind w:left="544" w:hanging="544"/>
        <w:rPr>
          <w:rFonts w:eastAsia="Times New Roman"/>
          <w:b/>
          <w:bCs/>
          <w:sz w:val="24"/>
          <w:szCs w:val="24"/>
        </w:rPr>
      </w:pPr>
      <w:bookmarkStart w:id="1" w:name="page2"/>
      <w:bookmarkEnd w:id="1"/>
      <w:r w:rsidRPr="00EB09D5">
        <w:rPr>
          <w:rFonts w:eastAsia="Times New Roman"/>
          <w:sz w:val="24"/>
          <w:szCs w:val="24"/>
        </w:rPr>
        <w:lastRenderedPageBreak/>
        <w:t>odôvodnenie predloženia materiálu,</w:t>
      </w:r>
    </w:p>
    <w:p w14:paraId="186EF716" w14:textId="77777777" w:rsidR="00A15CE0" w:rsidRPr="00EB09D5" w:rsidRDefault="002900CF">
      <w:pPr>
        <w:numPr>
          <w:ilvl w:val="0"/>
          <w:numId w:val="4"/>
        </w:numPr>
        <w:tabs>
          <w:tab w:val="left" w:pos="544"/>
        </w:tabs>
        <w:ind w:left="544" w:hanging="544"/>
        <w:rPr>
          <w:rFonts w:eastAsia="Times New Roman"/>
          <w:b/>
          <w:bCs/>
          <w:sz w:val="24"/>
          <w:szCs w:val="24"/>
        </w:rPr>
      </w:pPr>
      <w:r w:rsidRPr="00EB09D5">
        <w:rPr>
          <w:rFonts w:eastAsia="Times New Roman"/>
          <w:sz w:val="24"/>
          <w:szCs w:val="24"/>
        </w:rPr>
        <w:t>písomný materiál s predkladacou správou,</w:t>
      </w:r>
    </w:p>
    <w:p w14:paraId="7409BCDD" w14:textId="77777777" w:rsidR="00A15CE0" w:rsidRPr="00EB09D5" w:rsidRDefault="002900CF">
      <w:pPr>
        <w:numPr>
          <w:ilvl w:val="0"/>
          <w:numId w:val="4"/>
        </w:numPr>
        <w:tabs>
          <w:tab w:val="left" w:pos="544"/>
        </w:tabs>
        <w:ind w:left="544" w:hanging="544"/>
        <w:rPr>
          <w:rFonts w:eastAsia="Times New Roman"/>
          <w:b/>
          <w:bCs/>
          <w:sz w:val="24"/>
          <w:szCs w:val="24"/>
        </w:rPr>
      </w:pPr>
      <w:r w:rsidRPr="00EB09D5">
        <w:rPr>
          <w:rFonts w:eastAsia="Times New Roman"/>
          <w:sz w:val="24"/>
          <w:szCs w:val="24"/>
        </w:rPr>
        <w:t>návrh záverov a uznesenia.</w:t>
      </w:r>
    </w:p>
    <w:p w14:paraId="349F5B21" w14:textId="77777777" w:rsidR="00A15CE0" w:rsidRPr="00EB09D5" w:rsidRDefault="00A15CE0">
      <w:pPr>
        <w:spacing w:line="281" w:lineRule="exact"/>
        <w:rPr>
          <w:sz w:val="20"/>
          <w:szCs w:val="20"/>
        </w:rPr>
      </w:pPr>
    </w:p>
    <w:p w14:paraId="6077C9BE" w14:textId="77777777" w:rsidR="00A15CE0" w:rsidRPr="00EB09D5" w:rsidRDefault="002900CF">
      <w:pPr>
        <w:ind w:right="16"/>
        <w:jc w:val="center"/>
        <w:rPr>
          <w:sz w:val="20"/>
          <w:szCs w:val="20"/>
        </w:rPr>
      </w:pPr>
      <w:r w:rsidRPr="00EB09D5">
        <w:rPr>
          <w:rFonts w:eastAsia="Times New Roman"/>
          <w:b/>
          <w:bCs/>
          <w:sz w:val="24"/>
          <w:szCs w:val="24"/>
        </w:rPr>
        <w:t>Čl. 3</w:t>
      </w:r>
    </w:p>
    <w:p w14:paraId="6E83662C" w14:textId="77777777" w:rsidR="00A15CE0" w:rsidRPr="00EB09D5" w:rsidRDefault="002900CF">
      <w:pPr>
        <w:ind w:right="16"/>
        <w:jc w:val="center"/>
        <w:rPr>
          <w:sz w:val="20"/>
          <w:szCs w:val="20"/>
        </w:rPr>
      </w:pPr>
      <w:r w:rsidRPr="00EB09D5">
        <w:rPr>
          <w:rFonts w:eastAsia="Times New Roman"/>
          <w:b/>
          <w:bCs/>
          <w:sz w:val="24"/>
          <w:szCs w:val="24"/>
        </w:rPr>
        <w:t>Zasadnutie rady</w:t>
      </w:r>
    </w:p>
    <w:p w14:paraId="41F39242" w14:textId="77777777" w:rsidR="00A15CE0" w:rsidRPr="00EB09D5" w:rsidRDefault="00A15CE0">
      <w:pPr>
        <w:spacing w:line="283" w:lineRule="exact"/>
        <w:rPr>
          <w:sz w:val="20"/>
          <w:szCs w:val="20"/>
        </w:rPr>
      </w:pPr>
    </w:p>
    <w:p w14:paraId="383EB396" w14:textId="77777777" w:rsidR="00A15CE0" w:rsidRPr="00EB09D5" w:rsidRDefault="002900CF">
      <w:pPr>
        <w:numPr>
          <w:ilvl w:val="0"/>
          <w:numId w:val="5"/>
        </w:numPr>
        <w:tabs>
          <w:tab w:val="left" w:pos="385"/>
        </w:tabs>
        <w:spacing w:line="234" w:lineRule="auto"/>
        <w:ind w:left="4" w:right="20" w:hanging="4"/>
        <w:rPr>
          <w:rFonts w:eastAsia="Times New Roman"/>
          <w:b/>
          <w:bCs/>
          <w:color w:val="000000" w:themeColor="text1"/>
          <w:sz w:val="24"/>
          <w:szCs w:val="24"/>
        </w:rPr>
      </w:pPr>
      <w:r w:rsidRPr="00EB09D5">
        <w:rPr>
          <w:rFonts w:eastAsia="Times New Roman"/>
          <w:color w:val="000000" w:themeColor="text1"/>
          <w:sz w:val="24"/>
          <w:szCs w:val="24"/>
        </w:rPr>
        <w:t>Rada je spôsobilá zasadať, uznášať sa, ak je prítomná najmenej nadpolovičná väčšina všetkých jej členov.</w:t>
      </w:r>
    </w:p>
    <w:p w14:paraId="587C5184" w14:textId="77777777" w:rsidR="00A15CE0" w:rsidRPr="00EB09D5" w:rsidRDefault="00A15CE0">
      <w:pPr>
        <w:spacing w:line="289" w:lineRule="exact"/>
        <w:rPr>
          <w:rFonts w:eastAsia="Times New Roman"/>
          <w:b/>
          <w:bCs/>
          <w:color w:val="000000" w:themeColor="text1"/>
          <w:sz w:val="24"/>
          <w:szCs w:val="24"/>
        </w:rPr>
      </w:pPr>
    </w:p>
    <w:p w14:paraId="34500E7E" w14:textId="77777777" w:rsidR="00A15CE0" w:rsidRPr="00EB09D5" w:rsidRDefault="002900CF">
      <w:pPr>
        <w:numPr>
          <w:ilvl w:val="0"/>
          <w:numId w:val="5"/>
        </w:numPr>
        <w:tabs>
          <w:tab w:val="left" w:pos="376"/>
        </w:tabs>
        <w:spacing w:line="237" w:lineRule="auto"/>
        <w:ind w:left="4" w:right="20" w:hanging="4"/>
        <w:jc w:val="both"/>
        <w:rPr>
          <w:rFonts w:eastAsia="Times New Roman"/>
          <w:b/>
          <w:bCs/>
          <w:sz w:val="24"/>
          <w:szCs w:val="24"/>
        </w:rPr>
      </w:pPr>
      <w:r w:rsidRPr="00EB09D5">
        <w:rPr>
          <w:rFonts w:eastAsia="Times New Roman"/>
          <w:sz w:val="24"/>
          <w:szCs w:val="24"/>
        </w:rPr>
        <w:t>Neprítomnosť na zasadnutí rady vo výnimočných a ospravedlniteľných prípadoch musí člen rady vopred tajomníkovi rady oznámiť. Účasť člena rady na jej zasadnutí je zastupiteľná na základe písomného poverenia, súčasťou ktorého je poverenie vyjadrovať sa, zaujímať stanoviská a hlasovať k otázkam prerokúvaným na zasadnutí rady.</w:t>
      </w:r>
    </w:p>
    <w:p w14:paraId="7E48D3EF" w14:textId="77777777" w:rsidR="00A15CE0" w:rsidRPr="00EB09D5" w:rsidRDefault="00A15CE0">
      <w:pPr>
        <w:spacing w:line="290" w:lineRule="exact"/>
        <w:rPr>
          <w:rFonts w:eastAsia="Times New Roman"/>
          <w:b/>
          <w:bCs/>
          <w:sz w:val="24"/>
          <w:szCs w:val="24"/>
        </w:rPr>
      </w:pPr>
    </w:p>
    <w:p w14:paraId="4AF761B3" w14:textId="77777777" w:rsidR="00A15CE0" w:rsidRPr="00EB09D5" w:rsidRDefault="002900CF">
      <w:pPr>
        <w:numPr>
          <w:ilvl w:val="0"/>
          <w:numId w:val="5"/>
        </w:numPr>
        <w:tabs>
          <w:tab w:val="left" w:pos="364"/>
        </w:tabs>
        <w:spacing w:line="237" w:lineRule="auto"/>
        <w:ind w:left="4" w:right="20" w:hanging="4"/>
        <w:jc w:val="both"/>
        <w:rPr>
          <w:rFonts w:eastAsia="Times New Roman"/>
          <w:b/>
          <w:bCs/>
          <w:sz w:val="24"/>
          <w:szCs w:val="24"/>
        </w:rPr>
      </w:pPr>
      <w:r w:rsidRPr="00EB09D5">
        <w:rPr>
          <w:rFonts w:eastAsia="Times New Roman"/>
          <w:sz w:val="24"/>
          <w:szCs w:val="24"/>
        </w:rPr>
        <w:t>Rada na začiatku zasadnutia prerokuje návrh programu zasadnutia navrhnutý predsedom rady a schvaľuje ho hlasovaním. Rada môže pri prerokúvaní návrhu programu zasadnutia rady na návrh člena rady navrhnutý program doplniť alebo zmeniť. Návrh programu je schválený, ak zaňho hlasovala nadpolovičná väčšina prítomných členov rady.</w:t>
      </w:r>
    </w:p>
    <w:p w14:paraId="0F6BDCD5" w14:textId="77777777" w:rsidR="00A15CE0" w:rsidRPr="00EB09D5" w:rsidRDefault="00A15CE0">
      <w:pPr>
        <w:spacing w:line="289" w:lineRule="exact"/>
        <w:rPr>
          <w:rFonts w:eastAsia="Times New Roman"/>
          <w:b/>
          <w:bCs/>
          <w:sz w:val="24"/>
          <w:szCs w:val="24"/>
        </w:rPr>
      </w:pPr>
    </w:p>
    <w:p w14:paraId="380391D3" w14:textId="77777777" w:rsidR="00A15CE0" w:rsidRPr="00EB09D5" w:rsidRDefault="002900CF">
      <w:pPr>
        <w:numPr>
          <w:ilvl w:val="0"/>
          <w:numId w:val="5"/>
        </w:numPr>
        <w:tabs>
          <w:tab w:val="left" w:pos="390"/>
        </w:tabs>
        <w:spacing w:line="234" w:lineRule="auto"/>
        <w:ind w:left="4" w:right="20" w:hanging="4"/>
        <w:rPr>
          <w:rFonts w:eastAsia="Times New Roman"/>
          <w:b/>
          <w:bCs/>
          <w:sz w:val="24"/>
          <w:szCs w:val="24"/>
        </w:rPr>
      </w:pPr>
      <w:r w:rsidRPr="00EB09D5">
        <w:rPr>
          <w:rFonts w:eastAsia="Times New Roman"/>
          <w:sz w:val="24"/>
          <w:szCs w:val="24"/>
        </w:rPr>
        <w:t>Rada rokuje a rozhoduje o podkladových materiáloch doručených tajomníkovi rady v elektronickej forme (návrhov správ, rozborov a iné).</w:t>
      </w:r>
    </w:p>
    <w:p w14:paraId="7BFE1933" w14:textId="77777777" w:rsidR="00A15CE0" w:rsidRPr="00EB09D5" w:rsidRDefault="00A15CE0">
      <w:pPr>
        <w:spacing w:line="289" w:lineRule="exact"/>
        <w:rPr>
          <w:rFonts w:eastAsia="Times New Roman"/>
          <w:b/>
          <w:bCs/>
          <w:sz w:val="24"/>
          <w:szCs w:val="24"/>
        </w:rPr>
      </w:pPr>
    </w:p>
    <w:p w14:paraId="5E19B9A7" w14:textId="77777777" w:rsidR="00A15CE0" w:rsidRPr="00EB09D5" w:rsidRDefault="002900CF">
      <w:pPr>
        <w:numPr>
          <w:ilvl w:val="0"/>
          <w:numId w:val="5"/>
        </w:numPr>
        <w:tabs>
          <w:tab w:val="left" w:pos="373"/>
        </w:tabs>
        <w:spacing w:line="236" w:lineRule="auto"/>
        <w:ind w:left="4" w:right="20" w:hanging="4"/>
        <w:jc w:val="both"/>
        <w:rPr>
          <w:rFonts w:eastAsia="Times New Roman"/>
          <w:b/>
          <w:bCs/>
          <w:sz w:val="24"/>
          <w:szCs w:val="24"/>
        </w:rPr>
      </w:pPr>
      <w:r w:rsidRPr="00EB09D5">
        <w:rPr>
          <w:rFonts w:eastAsia="Times New Roman"/>
          <w:sz w:val="24"/>
          <w:szCs w:val="24"/>
        </w:rPr>
        <w:t>Materiál zaradený do programu zasadnutia rady uvedie predkladateľ. V úvodnom slove predkladateľ stručne odôvodní účel predkladaného materiálu alebo jeho doplnenie o aktuálne informácie a vyjadrenia k stanoviskám, ak sú priložené k materiálu.</w:t>
      </w:r>
    </w:p>
    <w:p w14:paraId="1BF42CE3" w14:textId="77777777" w:rsidR="00A15CE0" w:rsidRPr="00EB09D5" w:rsidRDefault="00A15CE0">
      <w:pPr>
        <w:spacing w:line="290" w:lineRule="exact"/>
        <w:rPr>
          <w:rFonts w:eastAsia="Times New Roman"/>
          <w:b/>
          <w:bCs/>
          <w:sz w:val="24"/>
          <w:szCs w:val="24"/>
        </w:rPr>
      </w:pPr>
    </w:p>
    <w:p w14:paraId="016AC58E" w14:textId="77777777" w:rsidR="00A15CE0" w:rsidRPr="00EB09D5" w:rsidRDefault="002900CF">
      <w:pPr>
        <w:numPr>
          <w:ilvl w:val="0"/>
          <w:numId w:val="5"/>
        </w:numPr>
        <w:tabs>
          <w:tab w:val="left" w:pos="364"/>
        </w:tabs>
        <w:spacing w:line="236" w:lineRule="auto"/>
        <w:ind w:left="4" w:right="20" w:hanging="4"/>
        <w:jc w:val="both"/>
        <w:rPr>
          <w:rFonts w:eastAsia="Times New Roman"/>
          <w:b/>
          <w:bCs/>
          <w:sz w:val="24"/>
          <w:szCs w:val="24"/>
        </w:rPr>
      </w:pPr>
      <w:r w:rsidRPr="00EB09D5">
        <w:rPr>
          <w:rFonts w:eastAsia="Times New Roman"/>
          <w:sz w:val="24"/>
          <w:szCs w:val="24"/>
        </w:rPr>
        <w:t>V odôvodnených a neodkladných prípadoch môže rada so súhlasom väčšiny prítomných členov rokovať o veci na základe materiálu alebo ústneho návrhu, predloženého členom rady priamo na zasadnutí.</w:t>
      </w:r>
    </w:p>
    <w:p w14:paraId="782977D4" w14:textId="77777777" w:rsidR="00A15CE0" w:rsidRPr="00EB09D5" w:rsidRDefault="00A15CE0">
      <w:pPr>
        <w:spacing w:line="289" w:lineRule="exact"/>
        <w:rPr>
          <w:rFonts w:eastAsia="Times New Roman"/>
          <w:b/>
          <w:bCs/>
          <w:sz w:val="24"/>
          <w:szCs w:val="24"/>
        </w:rPr>
      </w:pPr>
    </w:p>
    <w:p w14:paraId="69E6F667" w14:textId="77777777" w:rsidR="00A15CE0" w:rsidRPr="00EB09D5" w:rsidRDefault="002900CF">
      <w:pPr>
        <w:numPr>
          <w:ilvl w:val="0"/>
          <w:numId w:val="5"/>
        </w:numPr>
        <w:tabs>
          <w:tab w:val="left" w:pos="356"/>
        </w:tabs>
        <w:spacing w:line="237" w:lineRule="auto"/>
        <w:ind w:left="4" w:right="20" w:hanging="4"/>
        <w:jc w:val="both"/>
        <w:rPr>
          <w:rFonts w:eastAsia="Times New Roman"/>
          <w:b/>
          <w:bCs/>
          <w:sz w:val="24"/>
          <w:szCs w:val="24"/>
        </w:rPr>
      </w:pPr>
      <w:r w:rsidRPr="00EB09D5">
        <w:rPr>
          <w:rFonts w:eastAsia="Times New Roman"/>
          <w:sz w:val="24"/>
          <w:szCs w:val="24"/>
        </w:rPr>
        <w:t>K jednotlivým bodom zasadnutia sa môžu členovia rady vyjadrovať a podávať podnety a návrhy kedykoľvek v priebehu zasadnutia rady. Predstavitelia ďalších inštitúcií, ktorí boli prizvaní na zasadnutie rady sa vyjadria alebo podajú vysvetlenie, ak na to boli vyzvaní predsedajúcim zasadnutia rady alebo s jeho súhlasom, ak o to požiadajú.</w:t>
      </w:r>
    </w:p>
    <w:p w14:paraId="5C87B27F" w14:textId="77777777" w:rsidR="00A15CE0" w:rsidRPr="00EB09D5" w:rsidRDefault="00A15CE0">
      <w:pPr>
        <w:spacing w:line="278" w:lineRule="exact"/>
        <w:rPr>
          <w:rFonts w:eastAsia="Times New Roman"/>
          <w:b/>
          <w:bCs/>
          <w:sz w:val="24"/>
          <w:szCs w:val="24"/>
        </w:rPr>
      </w:pPr>
    </w:p>
    <w:p w14:paraId="5CD78D40" w14:textId="77777777" w:rsidR="00A15CE0" w:rsidRPr="00EB09D5" w:rsidRDefault="002900CF">
      <w:pPr>
        <w:numPr>
          <w:ilvl w:val="0"/>
          <w:numId w:val="5"/>
        </w:numPr>
        <w:tabs>
          <w:tab w:val="left" w:pos="344"/>
        </w:tabs>
        <w:ind w:left="344" w:hanging="344"/>
        <w:rPr>
          <w:rFonts w:eastAsia="Times New Roman"/>
          <w:b/>
          <w:bCs/>
          <w:sz w:val="24"/>
          <w:szCs w:val="24"/>
        </w:rPr>
      </w:pPr>
      <w:r w:rsidRPr="00EB09D5">
        <w:rPr>
          <w:rFonts w:eastAsia="Times New Roman"/>
          <w:sz w:val="24"/>
          <w:szCs w:val="24"/>
        </w:rPr>
        <w:t>Predkladateľ v záverečnom slove reaguje na stanoviská prednesené na zasadnutí rady.</w:t>
      </w:r>
    </w:p>
    <w:p w14:paraId="5452A54B" w14:textId="77777777" w:rsidR="00A15CE0" w:rsidRPr="00EB09D5" w:rsidRDefault="00A15CE0">
      <w:pPr>
        <w:spacing w:line="288" w:lineRule="exact"/>
        <w:rPr>
          <w:rFonts w:eastAsia="Times New Roman"/>
          <w:b/>
          <w:bCs/>
          <w:sz w:val="24"/>
          <w:szCs w:val="24"/>
        </w:rPr>
      </w:pPr>
    </w:p>
    <w:p w14:paraId="019C0E4F" w14:textId="0B273560" w:rsidR="00A15CE0" w:rsidRPr="00EB09D5" w:rsidRDefault="002900CF">
      <w:pPr>
        <w:numPr>
          <w:ilvl w:val="0"/>
          <w:numId w:val="5"/>
        </w:numPr>
        <w:tabs>
          <w:tab w:val="left" w:pos="371"/>
        </w:tabs>
        <w:spacing w:line="237" w:lineRule="auto"/>
        <w:ind w:left="4" w:hanging="4"/>
        <w:jc w:val="both"/>
        <w:rPr>
          <w:rFonts w:eastAsia="Times New Roman"/>
          <w:b/>
          <w:bCs/>
          <w:sz w:val="24"/>
          <w:szCs w:val="24"/>
        </w:rPr>
      </w:pPr>
      <w:r w:rsidRPr="00EB09D5">
        <w:rPr>
          <w:rFonts w:eastAsia="Times New Roman"/>
          <w:sz w:val="24"/>
          <w:szCs w:val="24"/>
        </w:rPr>
        <w:t xml:space="preserve">Zasadnutia rady sú verejné, ak rada v konkrétnom prípade nerozhodne inak hlasovaním nadpolovičnou väčšinou prítomných členov. Účasť verejnosti sa umožňuje do naplnenia kapacity miestnosti, v ktorej rada rokuje na základe registrácie. Zverejnenie informácií o termíne zasadnutia rady, podmienkach registrácie a o výsledkoch zasadnutia zabezpečí sekretariát rady na webovom sídle </w:t>
      </w:r>
      <w:r w:rsidR="00F46AE4" w:rsidRPr="00EB09D5">
        <w:rPr>
          <w:rFonts w:eastAsia="Times New Roman"/>
          <w:sz w:val="24"/>
          <w:szCs w:val="24"/>
        </w:rPr>
        <w:t>Ministerstva spravodlivosti Slovenskej republiky</w:t>
      </w:r>
      <w:r w:rsidRPr="00EB09D5">
        <w:rPr>
          <w:rFonts w:eastAsia="Times New Roman"/>
          <w:sz w:val="24"/>
          <w:szCs w:val="24"/>
        </w:rPr>
        <w:t>.</w:t>
      </w:r>
    </w:p>
    <w:p w14:paraId="5ADD9AEE" w14:textId="77777777" w:rsidR="00A15CE0" w:rsidRPr="00EB09D5" w:rsidRDefault="00A15CE0">
      <w:pPr>
        <w:spacing w:line="293" w:lineRule="exact"/>
        <w:rPr>
          <w:rFonts w:eastAsia="Times New Roman"/>
          <w:b/>
          <w:bCs/>
          <w:sz w:val="24"/>
          <w:szCs w:val="24"/>
        </w:rPr>
      </w:pPr>
    </w:p>
    <w:p w14:paraId="028D7914" w14:textId="77777777" w:rsidR="00A15CE0" w:rsidRPr="00EB09D5" w:rsidRDefault="002900CF">
      <w:pPr>
        <w:numPr>
          <w:ilvl w:val="0"/>
          <w:numId w:val="5"/>
        </w:numPr>
        <w:tabs>
          <w:tab w:val="left" w:pos="467"/>
        </w:tabs>
        <w:spacing w:line="234" w:lineRule="auto"/>
        <w:ind w:left="4" w:right="20" w:hanging="4"/>
        <w:rPr>
          <w:rFonts w:eastAsia="Times New Roman"/>
          <w:b/>
          <w:bCs/>
          <w:sz w:val="24"/>
          <w:szCs w:val="24"/>
        </w:rPr>
      </w:pPr>
      <w:r w:rsidRPr="00EB09D5">
        <w:rPr>
          <w:rFonts w:eastAsia="Times New Roman"/>
          <w:sz w:val="24"/>
          <w:szCs w:val="24"/>
        </w:rPr>
        <w:t>Na zasadnutie rady môže predseda rady, vzhľadom na charakter prerokúvaných tém, ako aj na podnet člena rady, prizvať ďalších expertov.</w:t>
      </w:r>
    </w:p>
    <w:p w14:paraId="086AA054" w14:textId="77777777" w:rsidR="00A15CE0" w:rsidRPr="00EB09D5" w:rsidRDefault="00A15CE0">
      <w:pPr>
        <w:spacing w:line="277" w:lineRule="exact"/>
        <w:rPr>
          <w:rFonts w:eastAsia="Times New Roman"/>
          <w:b/>
          <w:bCs/>
          <w:sz w:val="24"/>
          <w:szCs w:val="24"/>
        </w:rPr>
      </w:pPr>
    </w:p>
    <w:p w14:paraId="7D95627F" w14:textId="77777777" w:rsidR="00A15CE0" w:rsidRPr="00EB09D5" w:rsidRDefault="002900CF">
      <w:pPr>
        <w:numPr>
          <w:ilvl w:val="0"/>
          <w:numId w:val="5"/>
        </w:numPr>
        <w:tabs>
          <w:tab w:val="left" w:pos="464"/>
        </w:tabs>
        <w:ind w:left="464" w:hanging="464"/>
        <w:rPr>
          <w:rFonts w:eastAsia="Times New Roman"/>
          <w:b/>
          <w:bCs/>
          <w:sz w:val="24"/>
          <w:szCs w:val="24"/>
        </w:rPr>
      </w:pPr>
      <w:r w:rsidRPr="00EB09D5">
        <w:rPr>
          <w:rFonts w:eastAsia="Times New Roman"/>
          <w:sz w:val="24"/>
          <w:szCs w:val="24"/>
        </w:rPr>
        <w:t>Účastníci zasadnutia rady potvrdzujú svoju účasť podpisom v prezenčnej listine.</w:t>
      </w:r>
    </w:p>
    <w:p w14:paraId="66F0AADF" w14:textId="77777777" w:rsidR="00A15CE0" w:rsidRPr="00EB09D5" w:rsidRDefault="00A15CE0">
      <w:pPr>
        <w:sectPr w:rsidR="00A15CE0" w:rsidRPr="00EB09D5">
          <w:pgSz w:w="11900" w:h="16838"/>
          <w:pgMar w:top="1406" w:right="1406" w:bottom="1440" w:left="1416" w:header="0" w:footer="0" w:gutter="0"/>
          <w:cols w:space="708" w:equalWidth="0">
            <w:col w:w="9084"/>
          </w:cols>
        </w:sectPr>
      </w:pPr>
    </w:p>
    <w:p w14:paraId="39D80A99" w14:textId="77777777" w:rsidR="00A15CE0" w:rsidRPr="00EB09D5" w:rsidRDefault="00A15CE0">
      <w:pPr>
        <w:spacing w:line="200" w:lineRule="exact"/>
        <w:rPr>
          <w:sz w:val="20"/>
          <w:szCs w:val="20"/>
        </w:rPr>
      </w:pPr>
      <w:bookmarkStart w:id="2" w:name="page3"/>
      <w:bookmarkEnd w:id="2"/>
    </w:p>
    <w:p w14:paraId="301B6467" w14:textId="77777777" w:rsidR="00A15CE0" w:rsidRPr="00EB09D5" w:rsidRDefault="00A15CE0">
      <w:pPr>
        <w:spacing w:line="323" w:lineRule="exact"/>
        <w:rPr>
          <w:sz w:val="20"/>
          <w:szCs w:val="20"/>
        </w:rPr>
      </w:pPr>
    </w:p>
    <w:p w14:paraId="25E78E93" w14:textId="77777777" w:rsidR="00A15CE0" w:rsidRPr="00EB09D5" w:rsidRDefault="002900CF">
      <w:pPr>
        <w:ind w:right="-3"/>
        <w:jc w:val="center"/>
        <w:rPr>
          <w:sz w:val="20"/>
          <w:szCs w:val="20"/>
        </w:rPr>
      </w:pPr>
      <w:r w:rsidRPr="00EB09D5">
        <w:rPr>
          <w:rFonts w:eastAsia="Times New Roman"/>
          <w:b/>
          <w:bCs/>
          <w:sz w:val="24"/>
          <w:szCs w:val="24"/>
        </w:rPr>
        <w:t>Čl. 4</w:t>
      </w:r>
    </w:p>
    <w:p w14:paraId="3F5557FF" w14:textId="77777777" w:rsidR="00A15CE0" w:rsidRPr="00EB09D5" w:rsidRDefault="002900CF">
      <w:pPr>
        <w:ind w:right="-3"/>
        <w:jc w:val="center"/>
        <w:rPr>
          <w:sz w:val="20"/>
          <w:szCs w:val="20"/>
        </w:rPr>
      </w:pPr>
      <w:r w:rsidRPr="00EB09D5">
        <w:rPr>
          <w:rFonts w:eastAsia="Times New Roman"/>
          <w:b/>
          <w:bCs/>
          <w:sz w:val="24"/>
          <w:szCs w:val="24"/>
        </w:rPr>
        <w:t>Prijímanie záverov a uznesení rady</w:t>
      </w:r>
    </w:p>
    <w:p w14:paraId="481DAD20" w14:textId="77777777" w:rsidR="00A15CE0" w:rsidRPr="00EB09D5" w:rsidRDefault="00A15CE0">
      <w:pPr>
        <w:spacing w:line="283" w:lineRule="exact"/>
        <w:rPr>
          <w:sz w:val="20"/>
          <w:szCs w:val="20"/>
        </w:rPr>
      </w:pPr>
    </w:p>
    <w:p w14:paraId="35877626" w14:textId="77777777" w:rsidR="00A15CE0" w:rsidRPr="00EB09D5" w:rsidRDefault="002900CF">
      <w:pPr>
        <w:numPr>
          <w:ilvl w:val="0"/>
          <w:numId w:val="6"/>
        </w:numPr>
        <w:tabs>
          <w:tab w:val="left" w:pos="371"/>
        </w:tabs>
        <w:spacing w:line="234" w:lineRule="auto"/>
        <w:ind w:left="4" w:hanging="4"/>
        <w:rPr>
          <w:rFonts w:eastAsia="Times New Roman"/>
          <w:b/>
          <w:bCs/>
          <w:sz w:val="24"/>
          <w:szCs w:val="24"/>
        </w:rPr>
      </w:pPr>
      <w:r w:rsidRPr="00EB09D5">
        <w:rPr>
          <w:rFonts w:eastAsia="Times New Roman"/>
          <w:sz w:val="24"/>
          <w:szCs w:val="24"/>
        </w:rPr>
        <w:t>Závery zasadnutia rady sformuluje predseda, pričom prihliada na stanoviská prednesené počas rokovania.</w:t>
      </w:r>
    </w:p>
    <w:p w14:paraId="28CC5B42" w14:textId="77777777" w:rsidR="00A15CE0" w:rsidRPr="00EB09D5" w:rsidRDefault="00A15CE0">
      <w:pPr>
        <w:spacing w:line="277" w:lineRule="exact"/>
        <w:rPr>
          <w:rFonts w:eastAsia="Times New Roman"/>
          <w:b/>
          <w:bCs/>
          <w:sz w:val="24"/>
          <w:szCs w:val="24"/>
        </w:rPr>
      </w:pPr>
    </w:p>
    <w:p w14:paraId="42D5C972" w14:textId="77777777" w:rsidR="00A15CE0" w:rsidRPr="00EB09D5" w:rsidRDefault="002900CF">
      <w:pPr>
        <w:numPr>
          <w:ilvl w:val="0"/>
          <w:numId w:val="6"/>
        </w:numPr>
        <w:tabs>
          <w:tab w:val="left" w:pos="344"/>
        </w:tabs>
        <w:ind w:left="344" w:hanging="344"/>
        <w:rPr>
          <w:rFonts w:eastAsia="Times New Roman"/>
          <w:b/>
          <w:bCs/>
          <w:sz w:val="24"/>
          <w:szCs w:val="24"/>
        </w:rPr>
      </w:pPr>
      <w:r w:rsidRPr="00EB09D5">
        <w:rPr>
          <w:rFonts w:eastAsia="Times New Roman"/>
          <w:sz w:val="24"/>
          <w:szCs w:val="24"/>
        </w:rPr>
        <w:t>Závery zasadnutia rady sa prijímajú verejným hlasovaním.</w:t>
      </w:r>
    </w:p>
    <w:p w14:paraId="1E9DE56B" w14:textId="77777777" w:rsidR="00A15CE0" w:rsidRPr="00EB09D5" w:rsidRDefault="00A15CE0">
      <w:pPr>
        <w:spacing w:line="288" w:lineRule="exact"/>
        <w:rPr>
          <w:rFonts w:eastAsia="Times New Roman"/>
          <w:b/>
          <w:bCs/>
          <w:sz w:val="24"/>
          <w:szCs w:val="24"/>
        </w:rPr>
      </w:pPr>
    </w:p>
    <w:p w14:paraId="2A770CE5" w14:textId="77777777" w:rsidR="00A15CE0" w:rsidRPr="00EB09D5" w:rsidRDefault="002900CF">
      <w:pPr>
        <w:numPr>
          <w:ilvl w:val="0"/>
          <w:numId w:val="6"/>
        </w:numPr>
        <w:tabs>
          <w:tab w:val="left" w:pos="366"/>
        </w:tabs>
        <w:spacing w:line="234" w:lineRule="auto"/>
        <w:ind w:left="4" w:hanging="4"/>
        <w:rPr>
          <w:rFonts w:eastAsia="Times New Roman"/>
          <w:b/>
          <w:bCs/>
          <w:sz w:val="24"/>
          <w:szCs w:val="24"/>
        </w:rPr>
      </w:pPr>
      <w:r w:rsidRPr="00EB09D5">
        <w:rPr>
          <w:rFonts w:eastAsia="Times New Roman"/>
          <w:sz w:val="24"/>
          <w:szCs w:val="24"/>
        </w:rPr>
        <w:t>Členovia rady sa zúčastňujú na zasadnutí rady s hlasovacím právom, pričom každý člen rady má jeden hlas. Tajomník rady ani prizývaní experti nehlasujú.</w:t>
      </w:r>
    </w:p>
    <w:p w14:paraId="34366A8F" w14:textId="77777777" w:rsidR="00A15CE0" w:rsidRPr="00EB09D5" w:rsidRDefault="00A15CE0">
      <w:pPr>
        <w:spacing w:line="290" w:lineRule="exact"/>
        <w:rPr>
          <w:rFonts w:eastAsia="Times New Roman"/>
          <w:b/>
          <w:bCs/>
          <w:sz w:val="24"/>
          <w:szCs w:val="24"/>
        </w:rPr>
      </w:pPr>
    </w:p>
    <w:p w14:paraId="26A2C0B9" w14:textId="77777777" w:rsidR="00A15CE0" w:rsidRPr="00EB09D5" w:rsidRDefault="002900CF">
      <w:pPr>
        <w:numPr>
          <w:ilvl w:val="0"/>
          <w:numId w:val="6"/>
        </w:numPr>
        <w:tabs>
          <w:tab w:val="left" w:pos="407"/>
        </w:tabs>
        <w:spacing w:line="237" w:lineRule="auto"/>
        <w:ind w:left="4" w:hanging="4"/>
        <w:jc w:val="both"/>
        <w:rPr>
          <w:rFonts w:eastAsia="Times New Roman"/>
          <w:b/>
          <w:bCs/>
          <w:sz w:val="24"/>
          <w:szCs w:val="24"/>
        </w:rPr>
      </w:pPr>
      <w:r w:rsidRPr="00EB09D5">
        <w:rPr>
          <w:rFonts w:eastAsia="Times New Roman"/>
          <w:sz w:val="24"/>
          <w:szCs w:val="24"/>
        </w:rPr>
        <w:t>K jednotlivým prerokúvaným materiálom prijíma rada stanovisko formou uznesenia. Uznesenie rady má pre vládu odporúčajúci charakter. Uznesenie rady je prijaté, ak zaň hlasuje nadpolovičná väčšina prítomných členov rady. Pri rovnosti hlasov rozhoduje hlas predsedu rady alebo jedného z podpredsedov rady, ak vedie zasadnutie rady.</w:t>
      </w:r>
    </w:p>
    <w:p w14:paraId="4CC84BB4" w14:textId="77777777" w:rsidR="00A15CE0" w:rsidRPr="00EB09D5" w:rsidRDefault="00A15CE0">
      <w:pPr>
        <w:spacing w:line="277" w:lineRule="exact"/>
        <w:rPr>
          <w:rFonts w:eastAsia="Times New Roman"/>
          <w:b/>
          <w:bCs/>
          <w:sz w:val="24"/>
          <w:szCs w:val="24"/>
        </w:rPr>
      </w:pPr>
    </w:p>
    <w:p w14:paraId="3B0D11B5" w14:textId="77777777" w:rsidR="00A15CE0" w:rsidRPr="00EB09D5" w:rsidRDefault="002900CF">
      <w:pPr>
        <w:numPr>
          <w:ilvl w:val="0"/>
          <w:numId w:val="6"/>
        </w:numPr>
        <w:tabs>
          <w:tab w:val="left" w:pos="344"/>
        </w:tabs>
        <w:ind w:left="344" w:hanging="344"/>
        <w:rPr>
          <w:rFonts w:eastAsia="Times New Roman"/>
          <w:b/>
          <w:bCs/>
          <w:sz w:val="24"/>
          <w:szCs w:val="24"/>
        </w:rPr>
      </w:pPr>
      <w:r w:rsidRPr="00EB09D5">
        <w:rPr>
          <w:rFonts w:eastAsia="Times New Roman"/>
          <w:sz w:val="24"/>
          <w:szCs w:val="24"/>
        </w:rPr>
        <w:t>Znenie uznesenia rady sformuluje predseda rady.</w:t>
      </w:r>
    </w:p>
    <w:p w14:paraId="7F6D1402" w14:textId="77777777" w:rsidR="00A15CE0" w:rsidRPr="00EB09D5" w:rsidRDefault="00A15CE0">
      <w:pPr>
        <w:spacing w:line="276" w:lineRule="exact"/>
        <w:rPr>
          <w:rFonts w:eastAsia="Times New Roman"/>
          <w:b/>
          <w:bCs/>
          <w:sz w:val="24"/>
          <w:szCs w:val="24"/>
        </w:rPr>
      </w:pPr>
    </w:p>
    <w:p w14:paraId="16A586F7" w14:textId="77777777" w:rsidR="00A15CE0" w:rsidRPr="00EB09D5" w:rsidRDefault="002900CF">
      <w:pPr>
        <w:numPr>
          <w:ilvl w:val="0"/>
          <w:numId w:val="6"/>
        </w:numPr>
        <w:tabs>
          <w:tab w:val="left" w:pos="344"/>
        </w:tabs>
        <w:ind w:left="344" w:hanging="344"/>
        <w:rPr>
          <w:rFonts w:eastAsia="Times New Roman"/>
          <w:b/>
          <w:bCs/>
          <w:sz w:val="24"/>
          <w:szCs w:val="24"/>
        </w:rPr>
      </w:pPr>
      <w:r w:rsidRPr="00EB09D5">
        <w:rPr>
          <w:rFonts w:eastAsia="Times New Roman"/>
          <w:sz w:val="24"/>
          <w:szCs w:val="24"/>
        </w:rPr>
        <w:t>Uznesenie rady obsahuje:</w:t>
      </w:r>
    </w:p>
    <w:p w14:paraId="67377D7B" w14:textId="77777777" w:rsidR="00A15CE0" w:rsidRPr="00EB09D5" w:rsidRDefault="002900CF">
      <w:pPr>
        <w:numPr>
          <w:ilvl w:val="0"/>
          <w:numId w:val="7"/>
        </w:numPr>
        <w:tabs>
          <w:tab w:val="left" w:pos="544"/>
        </w:tabs>
        <w:ind w:left="544" w:hanging="544"/>
        <w:rPr>
          <w:rFonts w:eastAsia="Times New Roman"/>
          <w:b/>
          <w:bCs/>
          <w:sz w:val="24"/>
          <w:szCs w:val="24"/>
        </w:rPr>
      </w:pPr>
      <w:r w:rsidRPr="00EB09D5">
        <w:rPr>
          <w:rFonts w:eastAsia="Times New Roman"/>
          <w:sz w:val="24"/>
          <w:szCs w:val="24"/>
        </w:rPr>
        <w:t>číslo uznesenia rady</w:t>
      </w:r>
    </w:p>
    <w:p w14:paraId="56D5CA06" w14:textId="77777777" w:rsidR="00A15CE0" w:rsidRPr="00EB09D5" w:rsidRDefault="002900CF">
      <w:pPr>
        <w:numPr>
          <w:ilvl w:val="0"/>
          <w:numId w:val="7"/>
        </w:numPr>
        <w:tabs>
          <w:tab w:val="left" w:pos="544"/>
        </w:tabs>
        <w:ind w:left="544" w:hanging="544"/>
        <w:rPr>
          <w:rFonts w:eastAsia="Times New Roman"/>
          <w:b/>
          <w:bCs/>
          <w:sz w:val="24"/>
          <w:szCs w:val="24"/>
        </w:rPr>
      </w:pPr>
      <w:r w:rsidRPr="00EB09D5">
        <w:rPr>
          <w:rFonts w:eastAsia="Times New Roman"/>
          <w:sz w:val="24"/>
          <w:szCs w:val="24"/>
        </w:rPr>
        <w:t>dátum prijatia uznesenia rady,</w:t>
      </w:r>
    </w:p>
    <w:p w14:paraId="62B4290F" w14:textId="77777777" w:rsidR="00A15CE0" w:rsidRPr="00EB09D5" w:rsidRDefault="002900CF">
      <w:pPr>
        <w:numPr>
          <w:ilvl w:val="0"/>
          <w:numId w:val="7"/>
        </w:numPr>
        <w:tabs>
          <w:tab w:val="left" w:pos="544"/>
        </w:tabs>
        <w:ind w:left="544" w:hanging="544"/>
        <w:rPr>
          <w:rFonts w:eastAsia="Times New Roman"/>
          <w:b/>
          <w:bCs/>
          <w:sz w:val="24"/>
          <w:szCs w:val="24"/>
        </w:rPr>
      </w:pPr>
      <w:r w:rsidRPr="00EB09D5">
        <w:rPr>
          <w:rFonts w:eastAsia="Times New Roman"/>
          <w:sz w:val="24"/>
          <w:szCs w:val="24"/>
        </w:rPr>
        <w:t>presné znenie uznesenia rady,</w:t>
      </w:r>
    </w:p>
    <w:p w14:paraId="34981F55" w14:textId="77777777" w:rsidR="00A15CE0" w:rsidRPr="00EB09D5" w:rsidRDefault="002900CF">
      <w:pPr>
        <w:numPr>
          <w:ilvl w:val="0"/>
          <w:numId w:val="7"/>
        </w:numPr>
        <w:tabs>
          <w:tab w:val="left" w:pos="544"/>
        </w:tabs>
        <w:ind w:left="544" w:hanging="544"/>
        <w:rPr>
          <w:rFonts w:eastAsia="Times New Roman"/>
          <w:b/>
          <w:bCs/>
          <w:sz w:val="24"/>
          <w:szCs w:val="24"/>
        </w:rPr>
      </w:pPr>
      <w:r w:rsidRPr="00EB09D5">
        <w:rPr>
          <w:rFonts w:eastAsia="Times New Roman"/>
          <w:sz w:val="24"/>
          <w:szCs w:val="24"/>
        </w:rPr>
        <w:t>úlohy, menovitá zodpovednosť za plnenie úloh a termíny ich splnenia,</w:t>
      </w:r>
    </w:p>
    <w:p w14:paraId="4AF6D586" w14:textId="77777777" w:rsidR="00A15CE0" w:rsidRPr="00EB09D5" w:rsidRDefault="002900CF">
      <w:pPr>
        <w:numPr>
          <w:ilvl w:val="0"/>
          <w:numId w:val="7"/>
        </w:numPr>
        <w:tabs>
          <w:tab w:val="left" w:pos="544"/>
        </w:tabs>
        <w:ind w:left="544" w:hanging="544"/>
        <w:rPr>
          <w:rFonts w:eastAsia="Times New Roman"/>
          <w:b/>
          <w:bCs/>
          <w:sz w:val="24"/>
          <w:szCs w:val="24"/>
        </w:rPr>
      </w:pPr>
      <w:r w:rsidRPr="00EB09D5">
        <w:rPr>
          <w:rFonts w:eastAsia="Times New Roman"/>
          <w:sz w:val="24"/>
          <w:szCs w:val="24"/>
        </w:rPr>
        <w:t>odporúčania pre iné subjekty.</w:t>
      </w:r>
    </w:p>
    <w:p w14:paraId="7A6A40C1" w14:textId="77777777" w:rsidR="00A15CE0" w:rsidRPr="00EB09D5" w:rsidRDefault="00A15CE0">
      <w:pPr>
        <w:spacing w:line="276" w:lineRule="exact"/>
        <w:rPr>
          <w:sz w:val="20"/>
          <w:szCs w:val="20"/>
        </w:rPr>
      </w:pPr>
    </w:p>
    <w:p w14:paraId="59432C77" w14:textId="77777777" w:rsidR="00A15CE0" w:rsidRPr="00EB09D5" w:rsidRDefault="002900CF">
      <w:pPr>
        <w:numPr>
          <w:ilvl w:val="0"/>
          <w:numId w:val="8"/>
        </w:numPr>
        <w:tabs>
          <w:tab w:val="left" w:pos="344"/>
        </w:tabs>
        <w:ind w:left="344" w:hanging="344"/>
        <w:rPr>
          <w:rFonts w:eastAsia="Times New Roman"/>
          <w:b/>
          <w:bCs/>
          <w:sz w:val="24"/>
          <w:szCs w:val="24"/>
        </w:rPr>
      </w:pPr>
      <w:r w:rsidRPr="00EB09D5">
        <w:rPr>
          <w:rFonts w:eastAsia="Times New Roman"/>
          <w:sz w:val="24"/>
          <w:szCs w:val="24"/>
        </w:rPr>
        <w:t>Uznesenie je súčasťou zápisnice zo zasadnutia rady.</w:t>
      </w:r>
    </w:p>
    <w:p w14:paraId="010DB0EB" w14:textId="77777777" w:rsidR="00A15CE0" w:rsidRPr="00EB09D5" w:rsidRDefault="00A15CE0">
      <w:pPr>
        <w:spacing w:line="200" w:lineRule="exact"/>
        <w:rPr>
          <w:sz w:val="20"/>
          <w:szCs w:val="20"/>
        </w:rPr>
      </w:pPr>
    </w:p>
    <w:p w14:paraId="0548D921" w14:textId="77777777" w:rsidR="00A15CE0" w:rsidRPr="00EB09D5" w:rsidRDefault="00A15CE0">
      <w:pPr>
        <w:spacing w:line="357" w:lineRule="exact"/>
        <w:rPr>
          <w:color w:val="000000" w:themeColor="text1"/>
          <w:sz w:val="20"/>
          <w:szCs w:val="20"/>
        </w:rPr>
      </w:pPr>
    </w:p>
    <w:p w14:paraId="56BE6B7A" w14:textId="77777777" w:rsidR="00A15CE0" w:rsidRPr="00EB09D5" w:rsidRDefault="002900CF">
      <w:pPr>
        <w:ind w:right="-3"/>
        <w:jc w:val="center"/>
        <w:rPr>
          <w:color w:val="000000" w:themeColor="text1"/>
          <w:sz w:val="20"/>
          <w:szCs w:val="20"/>
        </w:rPr>
      </w:pPr>
      <w:r w:rsidRPr="00EB09D5">
        <w:rPr>
          <w:rFonts w:eastAsia="Times New Roman"/>
          <w:b/>
          <w:bCs/>
          <w:color w:val="000000" w:themeColor="text1"/>
          <w:sz w:val="24"/>
          <w:szCs w:val="24"/>
        </w:rPr>
        <w:t>Čl. 5</w:t>
      </w:r>
    </w:p>
    <w:p w14:paraId="622E1E43" w14:textId="77777777" w:rsidR="00A15CE0" w:rsidRPr="00EB09D5" w:rsidRDefault="002900CF">
      <w:pPr>
        <w:ind w:right="-3"/>
        <w:jc w:val="center"/>
        <w:rPr>
          <w:color w:val="000000" w:themeColor="text1"/>
          <w:sz w:val="20"/>
          <w:szCs w:val="20"/>
        </w:rPr>
      </w:pPr>
      <w:r w:rsidRPr="00EB09D5">
        <w:rPr>
          <w:rFonts w:eastAsia="Times New Roman"/>
          <w:b/>
          <w:bCs/>
          <w:color w:val="000000" w:themeColor="text1"/>
          <w:sz w:val="24"/>
          <w:szCs w:val="24"/>
        </w:rPr>
        <w:t>Hlasovanie procedúrou per rollam</w:t>
      </w:r>
    </w:p>
    <w:p w14:paraId="1E4BE35B" w14:textId="77777777" w:rsidR="00A15CE0" w:rsidRPr="00EB09D5" w:rsidRDefault="00A15CE0">
      <w:pPr>
        <w:spacing w:line="283" w:lineRule="exact"/>
        <w:rPr>
          <w:color w:val="000000" w:themeColor="text1"/>
          <w:sz w:val="20"/>
          <w:szCs w:val="20"/>
        </w:rPr>
      </w:pPr>
    </w:p>
    <w:p w14:paraId="605DECED" w14:textId="77777777" w:rsidR="00A15CE0" w:rsidRPr="00EB09D5" w:rsidRDefault="002900CF">
      <w:pPr>
        <w:numPr>
          <w:ilvl w:val="0"/>
          <w:numId w:val="9"/>
        </w:numPr>
        <w:tabs>
          <w:tab w:val="left" w:pos="366"/>
        </w:tabs>
        <w:spacing w:line="237" w:lineRule="auto"/>
        <w:ind w:left="4" w:hanging="4"/>
        <w:jc w:val="both"/>
        <w:rPr>
          <w:rFonts w:eastAsia="Times New Roman"/>
          <w:b/>
          <w:bCs/>
          <w:color w:val="000000" w:themeColor="text1"/>
          <w:sz w:val="24"/>
          <w:szCs w:val="24"/>
        </w:rPr>
      </w:pPr>
      <w:r w:rsidRPr="00EB09D5">
        <w:rPr>
          <w:rFonts w:eastAsia="Times New Roman"/>
          <w:color w:val="000000" w:themeColor="text1"/>
          <w:sz w:val="24"/>
          <w:szCs w:val="24"/>
        </w:rPr>
        <w:t>V naliehavom prípade alebo v prípade, ak podľa povahy veci, ktorá má byť predmetom uznesenia rady, sa nevyžaduje zasadnutie rady, môže byť uznesenie rady prijaté osobitnou písomnou formou (ďalej len „procedúra per rollam“). O použití procedúry per rollam na prijatie uznesenia rady rozhoduje predseda rady.</w:t>
      </w:r>
    </w:p>
    <w:p w14:paraId="0E573C42" w14:textId="77777777" w:rsidR="00A15CE0" w:rsidRPr="00EB09D5" w:rsidRDefault="00A15CE0">
      <w:pPr>
        <w:spacing w:line="278" w:lineRule="exact"/>
        <w:rPr>
          <w:rFonts w:eastAsia="Times New Roman"/>
          <w:b/>
          <w:bCs/>
          <w:color w:val="000000" w:themeColor="text1"/>
          <w:sz w:val="24"/>
          <w:szCs w:val="24"/>
        </w:rPr>
      </w:pPr>
    </w:p>
    <w:p w14:paraId="43AF62A1" w14:textId="77777777" w:rsidR="00A15CE0" w:rsidRPr="00EB09D5" w:rsidRDefault="002900CF">
      <w:pPr>
        <w:numPr>
          <w:ilvl w:val="0"/>
          <w:numId w:val="9"/>
        </w:numPr>
        <w:tabs>
          <w:tab w:val="left" w:pos="344"/>
        </w:tabs>
        <w:ind w:left="344" w:hanging="344"/>
        <w:rPr>
          <w:rFonts w:eastAsia="Times New Roman"/>
          <w:b/>
          <w:bCs/>
          <w:color w:val="000000" w:themeColor="text1"/>
          <w:sz w:val="24"/>
          <w:szCs w:val="24"/>
        </w:rPr>
      </w:pPr>
      <w:r w:rsidRPr="00EB09D5">
        <w:rPr>
          <w:rFonts w:eastAsia="Times New Roman"/>
          <w:color w:val="000000" w:themeColor="text1"/>
          <w:sz w:val="24"/>
          <w:szCs w:val="24"/>
        </w:rPr>
        <w:t>Procedúrou per rollam nemožno prijať uznesenie k zásadnému stanovisku výboru rady.</w:t>
      </w:r>
    </w:p>
    <w:p w14:paraId="3A678C3C" w14:textId="77777777" w:rsidR="00A15CE0" w:rsidRPr="00EB09D5" w:rsidRDefault="00A15CE0">
      <w:pPr>
        <w:spacing w:line="288" w:lineRule="exact"/>
        <w:rPr>
          <w:rFonts w:eastAsia="Times New Roman"/>
          <w:b/>
          <w:bCs/>
          <w:color w:val="000000" w:themeColor="text1"/>
          <w:sz w:val="24"/>
          <w:szCs w:val="24"/>
        </w:rPr>
      </w:pPr>
    </w:p>
    <w:p w14:paraId="317BBA28" w14:textId="7A376B21" w:rsidR="00A15CE0" w:rsidRPr="00EB09D5" w:rsidRDefault="002900CF">
      <w:pPr>
        <w:numPr>
          <w:ilvl w:val="0"/>
          <w:numId w:val="9"/>
        </w:numPr>
        <w:tabs>
          <w:tab w:val="left" w:pos="364"/>
        </w:tabs>
        <w:spacing w:line="237" w:lineRule="auto"/>
        <w:ind w:left="4" w:hanging="4"/>
        <w:jc w:val="both"/>
        <w:rPr>
          <w:rFonts w:eastAsia="Times New Roman"/>
          <w:b/>
          <w:bCs/>
          <w:color w:val="000000" w:themeColor="text1"/>
          <w:sz w:val="24"/>
          <w:szCs w:val="24"/>
        </w:rPr>
      </w:pPr>
      <w:r w:rsidRPr="00EB09D5">
        <w:rPr>
          <w:rFonts w:eastAsia="Times New Roman"/>
          <w:color w:val="000000" w:themeColor="text1"/>
          <w:sz w:val="24"/>
          <w:szCs w:val="24"/>
        </w:rPr>
        <w:t>Rozhodnutie predsedu rady o použití procedúry per rollam doručí tajomník rady členom rady spolu s materiálom a návrhom uznesenia rady, pričom zároveň uvedie deň a hodinu, do ktorej môže člen rady platne doručiť písomne alebo v elektronickej podobe svoje rozhodnutie o hlasovaní. Nepredloženie rozhodnutia o hlasovaní v určenom termíne sa považuje za zdržanie sa hlasovania o predloženom návrhu uznesenia rady.</w:t>
      </w:r>
    </w:p>
    <w:p w14:paraId="72A15AA2" w14:textId="77777777" w:rsidR="00A15CE0" w:rsidRPr="00EB09D5" w:rsidRDefault="00A15CE0">
      <w:pPr>
        <w:spacing w:line="293" w:lineRule="exact"/>
        <w:rPr>
          <w:rFonts w:eastAsia="Times New Roman"/>
          <w:b/>
          <w:bCs/>
          <w:color w:val="000000" w:themeColor="text1"/>
          <w:sz w:val="24"/>
          <w:szCs w:val="24"/>
        </w:rPr>
      </w:pPr>
    </w:p>
    <w:p w14:paraId="331EEB58" w14:textId="77777777" w:rsidR="00A15CE0" w:rsidRPr="00EB09D5" w:rsidRDefault="002900CF">
      <w:pPr>
        <w:numPr>
          <w:ilvl w:val="0"/>
          <w:numId w:val="9"/>
        </w:numPr>
        <w:tabs>
          <w:tab w:val="left" w:pos="356"/>
        </w:tabs>
        <w:spacing w:line="234" w:lineRule="auto"/>
        <w:ind w:left="4" w:hanging="4"/>
        <w:rPr>
          <w:rFonts w:eastAsia="Times New Roman"/>
          <w:b/>
          <w:bCs/>
          <w:color w:val="000000" w:themeColor="text1"/>
          <w:sz w:val="24"/>
          <w:szCs w:val="24"/>
        </w:rPr>
      </w:pPr>
      <w:r w:rsidRPr="00EB09D5">
        <w:rPr>
          <w:rFonts w:eastAsia="Times New Roman"/>
          <w:color w:val="000000" w:themeColor="text1"/>
          <w:sz w:val="24"/>
          <w:szCs w:val="24"/>
        </w:rPr>
        <w:t>K použitiu procedúry per rollam sa môžu členovia rady vyjadriť bez zbytočného odkladu po doručení rozhodnutia o jej použití alebo súčasne so svojím rozhodnutím o hlasovaní.</w:t>
      </w:r>
    </w:p>
    <w:p w14:paraId="4437576D" w14:textId="77777777" w:rsidR="00A15CE0" w:rsidRPr="00EB09D5" w:rsidRDefault="00A15CE0">
      <w:pPr>
        <w:rPr>
          <w:color w:val="000000" w:themeColor="text1"/>
        </w:rPr>
        <w:sectPr w:rsidR="00A15CE0" w:rsidRPr="00EB09D5">
          <w:pgSz w:w="11900" w:h="16838"/>
          <w:pgMar w:top="1440" w:right="1426" w:bottom="1440" w:left="1416" w:header="0" w:footer="0" w:gutter="0"/>
          <w:cols w:space="708" w:equalWidth="0">
            <w:col w:w="9064"/>
          </w:cols>
        </w:sectPr>
      </w:pPr>
    </w:p>
    <w:p w14:paraId="1A21BCE1" w14:textId="77777777" w:rsidR="00A15CE0" w:rsidRPr="00EB09D5" w:rsidRDefault="002900CF">
      <w:pPr>
        <w:numPr>
          <w:ilvl w:val="0"/>
          <w:numId w:val="10"/>
        </w:numPr>
        <w:tabs>
          <w:tab w:val="left" w:pos="359"/>
        </w:tabs>
        <w:spacing w:line="236" w:lineRule="auto"/>
        <w:ind w:left="4" w:right="20" w:hanging="4"/>
        <w:jc w:val="both"/>
        <w:rPr>
          <w:rFonts w:eastAsia="Times New Roman"/>
          <w:b/>
          <w:bCs/>
          <w:color w:val="000000" w:themeColor="text1"/>
          <w:sz w:val="24"/>
          <w:szCs w:val="24"/>
        </w:rPr>
      </w:pPr>
      <w:bookmarkStart w:id="3" w:name="page4"/>
      <w:bookmarkEnd w:id="3"/>
      <w:r w:rsidRPr="00EB09D5">
        <w:rPr>
          <w:rFonts w:eastAsia="Times New Roman"/>
          <w:color w:val="000000" w:themeColor="text1"/>
          <w:sz w:val="24"/>
          <w:szCs w:val="24"/>
        </w:rPr>
        <w:lastRenderedPageBreak/>
        <w:t>Ak člen rady nesúhlasí s použitím procedúry per rollam na prijatie uznesenia rady, svoje stanovisko odôvodní. Odôvodnené stanovisko sa pre účely uznášaniaschopnosti rady posudzuje ako ospravedlnená neprítomnosť na hlasovaní rady.</w:t>
      </w:r>
    </w:p>
    <w:p w14:paraId="1B57B3C5" w14:textId="77777777" w:rsidR="00A15CE0" w:rsidRPr="00EB09D5" w:rsidRDefault="00A15CE0">
      <w:pPr>
        <w:spacing w:line="290" w:lineRule="exact"/>
        <w:rPr>
          <w:rFonts w:eastAsia="Times New Roman"/>
          <w:b/>
          <w:bCs/>
          <w:color w:val="000000" w:themeColor="text1"/>
          <w:sz w:val="24"/>
          <w:szCs w:val="24"/>
        </w:rPr>
      </w:pPr>
    </w:p>
    <w:p w14:paraId="0E98509B" w14:textId="77777777" w:rsidR="00A15CE0" w:rsidRPr="00EB09D5" w:rsidRDefault="002900CF">
      <w:pPr>
        <w:numPr>
          <w:ilvl w:val="0"/>
          <w:numId w:val="10"/>
        </w:numPr>
        <w:tabs>
          <w:tab w:val="left" w:pos="467"/>
        </w:tabs>
        <w:spacing w:line="234" w:lineRule="auto"/>
        <w:ind w:left="4" w:right="20" w:hanging="4"/>
        <w:rPr>
          <w:rFonts w:eastAsia="Times New Roman"/>
          <w:b/>
          <w:bCs/>
          <w:color w:val="000000" w:themeColor="text1"/>
          <w:sz w:val="24"/>
          <w:szCs w:val="24"/>
        </w:rPr>
      </w:pPr>
      <w:r w:rsidRPr="00EB09D5">
        <w:rPr>
          <w:rFonts w:eastAsia="Times New Roman"/>
          <w:color w:val="000000" w:themeColor="text1"/>
          <w:sz w:val="24"/>
          <w:szCs w:val="24"/>
        </w:rPr>
        <w:t>Na prijatie uznesenia rady použitím procedúry per rollam sa vyžaduje súhlas nadpolovičnej väčšiny hlasujúcich členov rady s predloženým návrhom uznesenia.</w:t>
      </w:r>
    </w:p>
    <w:p w14:paraId="0458FB17" w14:textId="77777777" w:rsidR="00A15CE0" w:rsidRPr="00EB09D5" w:rsidRDefault="00A15CE0">
      <w:pPr>
        <w:spacing w:line="289" w:lineRule="exact"/>
        <w:rPr>
          <w:rFonts w:eastAsia="Times New Roman"/>
          <w:b/>
          <w:bCs/>
          <w:color w:val="000000" w:themeColor="text1"/>
          <w:sz w:val="24"/>
          <w:szCs w:val="24"/>
        </w:rPr>
      </w:pPr>
    </w:p>
    <w:p w14:paraId="64A55E58" w14:textId="77777777" w:rsidR="00A15CE0" w:rsidRPr="00EB09D5" w:rsidRDefault="002900CF">
      <w:pPr>
        <w:numPr>
          <w:ilvl w:val="0"/>
          <w:numId w:val="10"/>
        </w:numPr>
        <w:tabs>
          <w:tab w:val="left" w:pos="352"/>
        </w:tabs>
        <w:spacing w:line="237" w:lineRule="auto"/>
        <w:ind w:left="4" w:right="20" w:hanging="4"/>
        <w:jc w:val="both"/>
        <w:rPr>
          <w:rFonts w:eastAsia="Times New Roman"/>
          <w:b/>
          <w:bCs/>
          <w:color w:val="000000" w:themeColor="text1"/>
          <w:sz w:val="24"/>
          <w:szCs w:val="24"/>
        </w:rPr>
      </w:pPr>
      <w:r w:rsidRPr="00EB09D5">
        <w:rPr>
          <w:rFonts w:eastAsia="Times New Roman"/>
          <w:color w:val="000000" w:themeColor="text1"/>
          <w:sz w:val="24"/>
          <w:szCs w:val="24"/>
        </w:rPr>
        <w:t>Po ukončení hlasovania použitím procedúry per rollam tajomník rady vyhodnotí výsledky hlasovania a o hlasovaní o návrhu uznesenia vypracuje záznam, ktorý schvaľuje svojím podpisom predseda rady. Záznam o výsledkoch hlasovania rady použitím procedúry per rollam spolu s uznesením rady doručí tajomník rady členom rady najneskôr do 7 pracovných dní odo dňa ukončenia hlasovania.</w:t>
      </w:r>
    </w:p>
    <w:p w14:paraId="372150A1" w14:textId="77777777" w:rsidR="00A15CE0" w:rsidRPr="00EB09D5" w:rsidRDefault="00A15CE0">
      <w:pPr>
        <w:spacing w:line="293" w:lineRule="exact"/>
        <w:rPr>
          <w:rFonts w:eastAsia="Times New Roman"/>
          <w:b/>
          <w:bCs/>
          <w:color w:val="000000" w:themeColor="text1"/>
          <w:sz w:val="24"/>
          <w:szCs w:val="24"/>
        </w:rPr>
      </w:pPr>
    </w:p>
    <w:p w14:paraId="141EF13B" w14:textId="77777777" w:rsidR="00A15CE0" w:rsidRPr="00EB09D5" w:rsidRDefault="002900CF">
      <w:pPr>
        <w:numPr>
          <w:ilvl w:val="0"/>
          <w:numId w:val="10"/>
        </w:numPr>
        <w:tabs>
          <w:tab w:val="left" w:pos="359"/>
        </w:tabs>
        <w:spacing w:line="237" w:lineRule="auto"/>
        <w:ind w:left="4" w:right="20" w:hanging="4"/>
        <w:jc w:val="both"/>
        <w:rPr>
          <w:rFonts w:eastAsia="Times New Roman"/>
          <w:b/>
          <w:bCs/>
          <w:color w:val="000000" w:themeColor="text1"/>
          <w:sz w:val="24"/>
          <w:szCs w:val="24"/>
        </w:rPr>
      </w:pPr>
      <w:r w:rsidRPr="00EB09D5">
        <w:rPr>
          <w:rFonts w:eastAsia="Times New Roman"/>
          <w:color w:val="000000" w:themeColor="text1"/>
          <w:sz w:val="24"/>
          <w:szCs w:val="24"/>
        </w:rPr>
        <w:t>Pre prijímanie uznesení použitím procedúry per rollam sa primerane použijú ustanovenia tohto rokovacieho poriadku o prijímaní záverov a uznesní rady podľa článku 4 tohto rokovacieho poriadku. Uznesenia rady prijaté použitím procedúry per rollam majú rovnakú záväznosť ako uznesenia prijaté na zasadnutí rady.</w:t>
      </w:r>
    </w:p>
    <w:p w14:paraId="02191584" w14:textId="77777777" w:rsidR="00A15CE0" w:rsidRPr="00EB09D5" w:rsidRDefault="00A15CE0">
      <w:pPr>
        <w:spacing w:line="200" w:lineRule="exact"/>
        <w:rPr>
          <w:color w:val="000000" w:themeColor="text1"/>
          <w:sz w:val="20"/>
          <w:szCs w:val="20"/>
        </w:rPr>
      </w:pPr>
    </w:p>
    <w:p w14:paraId="175B1B75" w14:textId="77777777" w:rsidR="00A15CE0" w:rsidRPr="00EB09D5" w:rsidRDefault="00A15CE0">
      <w:pPr>
        <w:spacing w:line="358" w:lineRule="exact"/>
        <w:rPr>
          <w:color w:val="000000" w:themeColor="text1"/>
          <w:sz w:val="20"/>
          <w:szCs w:val="20"/>
        </w:rPr>
      </w:pPr>
    </w:p>
    <w:p w14:paraId="1D391B52" w14:textId="77777777" w:rsidR="00A15CE0" w:rsidRPr="00EB09D5" w:rsidRDefault="002900CF">
      <w:pPr>
        <w:ind w:right="16"/>
        <w:jc w:val="center"/>
        <w:rPr>
          <w:color w:val="000000" w:themeColor="text1"/>
          <w:sz w:val="20"/>
          <w:szCs w:val="20"/>
        </w:rPr>
      </w:pPr>
      <w:r w:rsidRPr="00EB09D5">
        <w:rPr>
          <w:rFonts w:eastAsia="Times New Roman"/>
          <w:b/>
          <w:bCs/>
          <w:color w:val="000000" w:themeColor="text1"/>
          <w:sz w:val="24"/>
          <w:szCs w:val="24"/>
        </w:rPr>
        <w:t>Čl. 5a</w:t>
      </w:r>
    </w:p>
    <w:p w14:paraId="32D9CBAB" w14:textId="77777777" w:rsidR="00A15CE0" w:rsidRPr="00EB09D5" w:rsidRDefault="002900CF">
      <w:pPr>
        <w:ind w:right="16"/>
        <w:jc w:val="center"/>
        <w:rPr>
          <w:color w:val="000000" w:themeColor="text1"/>
          <w:sz w:val="20"/>
          <w:szCs w:val="20"/>
        </w:rPr>
      </w:pPr>
      <w:r w:rsidRPr="00EB09D5">
        <w:rPr>
          <w:rFonts w:eastAsia="Times New Roman"/>
          <w:b/>
          <w:bCs/>
          <w:color w:val="000000" w:themeColor="text1"/>
          <w:sz w:val="24"/>
          <w:szCs w:val="24"/>
        </w:rPr>
        <w:t>Zápisnica z dohodovacieho konania</w:t>
      </w:r>
    </w:p>
    <w:p w14:paraId="68671F68" w14:textId="77777777" w:rsidR="00A15CE0" w:rsidRPr="00EB09D5" w:rsidRDefault="00A15CE0">
      <w:pPr>
        <w:spacing w:line="200" w:lineRule="exact"/>
        <w:rPr>
          <w:color w:val="000000" w:themeColor="text1"/>
          <w:sz w:val="20"/>
          <w:szCs w:val="20"/>
        </w:rPr>
      </w:pPr>
    </w:p>
    <w:p w14:paraId="572CD323" w14:textId="77777777" w:rsidR="00A15CE0" w:rsidRPr="00EB09D5" w:rsidRDefault="00A15CE0">
      <w:pPr>
        <w:spacing w:line="206" w:lineRule="exact"/>
        <w:rPr>
          <w:color w:val="000000" w:themeColor="text1"/>
          <w:sz w:val="20"/>
          <w:szCs w:val="20"/>
        </w:rPr>
      </w:pPr>
    </w:p>
    <w:p w14:paraId="6DACD74E" w14:textId="77777777" w:rsidR="00A15CE0" w:rsidRPr="00EB09D5" w:rsidRDefault="002900CF">
      <w:pPr>
        <w:numPr>
          <w:ilvl w:val="0"/>
          <w:numId w:val="11"/>
        </w:numPr>
        <w:tabs>
          <w:tab w:val="left" w:pos="548"/>
        </w:tabs>
        <w:spacing w:line="272" w:lineRule="auto"/>
        <w:ind w:left="4" w:hanging="4"/>
        <w:jc w:val="both"/>
        <w:rPr>
          <w:rFonts w:eastAsia="Times New Roman"/>
          <w:b/>
          <w:bCs/>
          <w:color w:val="000000" w:themeColor="text1"/>
          <w:sz w:val="24"/>
          <w:szCs w:val="24"/>
        </w:rPr>
      </w:pPr>
      <w:r w:rsidRPr="00EB09D5">
        <w:rPr>
          <w:rFonts w:eastAsia="Times New Roman"/>
          <w:color w:val="000000" w:themeColor="text1"/>
          <w:sz w:val="24"/>
          <w:szCs w:val="24"/>
        </w:rPr>
        <w:t>Zápisnica z dohodovacieho konania obsahuje predovšetkým miesto a dátum dohodovacieho konania, zoznam zúčastnených v zmysle čl. 8a štatútu rady a jasne formulované závery dohodovacieho konania, vrátane identifikovania častí materiálu, ktoré zostali sporné. Zápisnica musí byť podpísaná všetkými zúčastnenými.</w:t>
      </w:r>
    </w:p>
    <w:p w14:paraId="1ACCB344" w14:textId="77777777" w:rsidR="00A15CE0" w:rsidRPr="00EB09D5" w:rsidRDefault="00A15CE0">
      <w:pPr>
        <w:spacing w:line="138" w:lineRule="exact"/>
        <w:rPr>
          <w:rFonts w:eastAsia="Times New Roman"/>
          <w:b/>
          <w:bCs/>
          <w:color w:val="000000" w:themeColor="text1"/>
          <w:sz w:val="24"/>
          <w:szCs w:val="24"/>
        </w:rPr>
      </w:pPr>
    </w:p>
    <w:p w14:paraId="3A05E8C8" w14:textId="77777777" w:rsidR="00A15CE0" w:rsidRPr="00EB09D5" w:rsidRDefault="002900CF">
      <w:pPr>
        <w:numPr>
          <w:ilvl w:val="0"/>
          <w:numId w:val="11"/>
        </w:numPr>
        <w:tabs>
          <w:tab w:val="left" w:pos="378"/>
        </w:tabs>
        <w:spacing w:line="264" w:lineRule="auto"/>
        <w:ind w:left="4" w:right="20" w:hanging="4"/>
        <w:rPr>
          <w:rFonts w:eastAsia="Times New Roman"/>
          <w:b/>
          <w:bCs/>
          <w:color w:val="000000" w:themeColor="text1"/>
          <w:sz w:val="24"/>
          <w:szCs w:val="24"/>
        </w:rPr>
      </w:pPr>
      <w:r w:rsidRPr="00EB09D5">
        <w:rPr>
          <w:rFonts w:eastAsia="Times New Roman"/>
          <w:color w:val="000000" w:themeColor="text1"/>
          <w:sz w:val="24"/>
          <w:szCs w:val="24"/>
        </w:rPr>
        <w:t>Zápisnica z dohodovacieho konania spolu s prerokovaným materiálom je predložená na ďalšie rokovanie rady spôsobom podľa čl. 2.</w:t>
      </w:r>
    </w:p>
    <w:p w14:paraId="0FC01986" w14:textId="77777777" w:rsidR="00A15CE0" w:rsidRPr="00EB09D5" w:rsidRDefault="00A15CE0">
      <w:pPr>
        <w:spacing w:line="200" w:lineRule="exact"/>
        <w:rPr>
          <w:color w:val="000000" w:themeColor="text1"/>
          <w:sz w:val="20"/>
          <w:szCs w:val="20"/>
        </w:rPr>
      </w:pPr>
    </w:p>
    <w:p w14:paraId="579FED7D" w14:textId="77777777" w:rsidR="00A15CE0" w:rsidRPr="00EB09D5" w:rsidRDefault="00A15CE0">
      <w:pPr>
        <w:spacing w:line="335" w:lineRule="exact"/>
        <w:rPr>
          <w:color w:val="000000" w:themeColor="text1"/>
          <w:sz w:val="20"/>
          <w:szCs w:val="20"/>
        </w:rPr>
      </w:pPr>
    </w:p>
    <w:p w14:paraId="2D66BD03" w14:textId="77777777" w:rsidR="00A15CE0" w:rsidRPr="00EB09D5" w:rsidRDefault="002900CF">
      <w:pPr>
        <w:ind w:right="16"/>
        <w:jc w:val="center"/>
        <w:rPr>
          <w:color w:val="000000" w:themeColor="text1"/>
          <w:sz w:val="20"/>
          <w:szCs w:val="20"/>
        </w:rPr>
      </w:pPr>
      <w:r w:rsidRPr="00EB09D5">
        <w:rPr>
          <w:rFonts w:eastAsia="Times New Roman"/>
          <w:b/>
          <w:bCs/>
          <w:color w:val="000000" w:themeColor="text1"/>
          <w:sz w:val="24"/>
          <w:szCs w:val="24"/>
        </w:rPr>
        <w:t>Čl. 6</w:t>
      </w:r>
    </w:p>
    <w:p w14:paraId="596DE572" w14:textId="77777777" w:rsidR="00A15CE0" w:rsidRPr="00EB09D5" w:rsidRDefault="002900CF">
      <w:pPr>
        <w:ind w:right="16"/>
        <w:jc w:val="center"/>
        <w:rPr>
          <w:sz w:val="20"/>
          <w:szCs w:val="20"/>
        </w:rPr>
      </w:pPr>
      <w:r w:rsidRPr="00EB09D5">
        <w:rPr>
          <w:rFonts w:eastAsia="Times New Roman"/>
          <w:b/>
          <w:bCs/>
          <w:sz w:val="24"/>
          <w:szCs w:val="24"/>
        </w:rPr>
        <w:t>Zápisnica zo zasadnutia rady</w:t>
      </w:r>
    </w:p>
    <w:p w14:paraId="68081995" w14:textId="77777777" w:rsidR="00A15CE0" w:rsidRPr="00EB09D5" w:rsidRDefault="00A15CE0">
      <w:pPr>
        <w:spacing w:line="200" w:lineRule="exact"/>
        <w:rPr>
          <w:sz w:val="20"/>
          <w:szCs w:val="20"/>
        </w:rPr>
      </w:pPr>
    </w:p>
    <w:p w14:paraId="19CA5ACC" w14:textId="77777777" w:rsidR="00A15CE0" w:rsidRPr="00EB09D5" w:rsidRDefault="00A15CE0">
      <w:pPr>
        <w:spacing w:line="360" w:lineRule="exact"/>
        <w:rPr>
          <w:sz w:val="20"/>
          <w:szCs w:val="20"/>
        </w:rPr>
      </w:pPr>
    </w:p>
    <w:p w14:paraId="030A0CA5" w14:textId="77777777" w:rsidR="00A15CE0" w:rsidRPr="00EB09D5" w:rsidRDefault="002900CF">
      <w:pPr>
        <w:numPr>
          <w:ilvl w:val="0"/>
          <w:numId w:val="12"/>
        </w:numPr>
        <w:tabs>
          <w:tab w:val="left" w:pos="347"/>
        </w:tabs>
        <w:spacing w:line="236" w:lineRule="auto"/>
        <w:ind w:left="4" w:right="20" w:hanging="4"/>
        <w:jc w:val="both"/>
        <w:rPr>
          <w:rFonts w:eastAsia="Times New Roman"/>
          <w:b/>
          <w:bCs/>
          <w:sz w:val="24"/>
          <w:szCs w:val="24"/>
        </w:rPr>
      </w:pPr>
      <w:r w:rsidRPr="00EB09D5">
        <w:rPr>
          <w:rFonts w:eastAsia="Times New Roman"/>
          <w:sz w:val="24"/>
          <w:szCs w:val="24"/>
        </w:rPr>
        <w:t>Tajomník rady vyhotovuje zápisnicu zo zasadnutia rady s prílohami a zabezpečuje plnenie ďalších organizačných a administratívnych úloh, súvisiacich s činnosťou rady. Za správnosť obsahu zápisnice zodpovedá tajomník rady a následne ju schvaľuje predseda rady.</w:t>
      </w:r>
    </w:p>
    <w:p w14:paraId="3393C2D3" w14:textId="77777777" w:rsidR="00A15CE0" w:rsidRPr="00EB09D5" w:rsidRDefault="00A15CE0">
      <w:pPr>
        <w:spacing w:line="289" w:lineRule="exact"/>
        <w:rPr>
          <w:rFonts w:eastAsia="Times New Roman"/>
          <w:b/>
          <w:bCs/>
          <w:sz w:val="24"/>
          <w:szCs w:val="24"/>
        </w:rPr>
      </w:pPr>
    </w:p>
    <w:p w14:paraId="46A5EAED" w14:textId="77777777" w:rsidR="00A15CE0" w:rsidRPr="00EB09D5" w:rsidRDefault="002900CF">
      <w:pPr>
        <w:numPr>
          <w:ilvl w:val="0"/>
          <w:numId w:val="12"/>
        </w:numPr>
        <w:tabs>
          <w:tab w:val="left" w:pos="395"/>
        </w:tabs>
        <w:spacing w:line="237" w:lineRule="auto"/>
        <w:ind w:left="4" w:right="20" w:hanging="4"/>
        <w:jc w:val="both"/>
        <w:rPr>
          <w:rFonts w:eastAsia="Times New Roman"/>
          <w:b/>
          <w:bCs/>
          <w:sz w:val="24"/>
          <w:szCs w:val="24"/>
        </w:rPr>
      </w:pPr>
      <w:r w:rsidRPr="00EB09D5">
        <w:rPr>
          <w:rFonts w:eastAsia="Times New Roman"/>
          <w:sz w:val="24"/>
          <w:szCs w:val="24"/>
        </w:rPr>
        <w:t>Zápisnica zo zasadnutia rady obsahuje dátum a miesto zasadnutia, mená prítomných, mená ospravedlnených, mená neospravedlnených, program rokovania, priebeh zasadnutia a prijaté závery a uznesenia rady. Prílohu zápisnice tvorí prezenčná listina a schválený materiál predložený na zasadnutí rady.</w:t>
      </w:r>
    </w:p>
    <w:p w14:paraId="66326182" w14:textId="77777777" w:rsidR="00A15CE0" w:rsidRPr="00EB09D5" w:rsidRDefault="00A15CE0">
      <w:pPr>
        <w:spacing w:line="287" w:lineRule="exact"/>
        <w:rPr>
          <w:rFonts w:eastAsia="Times New Roman"/>
          <w:b/>
          <w:bCs/>
          <w:sz w:val="24"/>
          <w:szCs w:val="24"/>
        </w:rPr>
      </w:pPr>
    </w:p>
    <w:p w14:paraId="35D3A925" w14:textId="77777777" w:rsidR="00A15CE0" w:rsidRPr="00EB09D5" w:rsidRDefault="002900CF">
      <w:pPr>
        <w:numPr>
          <w:ilvl w:val="0"/>
          <w:numId w:val="12"/>
        </w:numPr>
        <w:tabs>
          <w:tab w:val="left" w:pos="380"/>
        </w:tabs>
        <w:spacing w:line="234" w:lineRule="auto"/>
        <w:ind w:left="4" w:right="20" w:hanging="4"/>
        <w:rPr>
          <w:rFonts w:eastAsia="Times New Roman"/>
          <w:b/>
          <w:bCs/>
          <w:sz w:val="24"/>
          <w:szCs w:val="24"/>
        </w:rPr>
      </w:pPr>
      <w:r w:rsidRPr="00EB09D5">
        <w:rPr>
          <w:rFonts w:eastAsia="Times New Roman"/>
          <w:sz w:val="24"/>
          <w:szCs w:val="24"/>
        </w:rPr>
        <w:t>Člen rady má právo, ak o to požiada, aby sa jeho výhrady alebo odlišné stanoviská k prerokovávanému materiálu a k uzneseniu rady uviedli v zápisnici z rokovania rady.</w:t>
      </w:r>
    </w:p>
    <w:p w14:paraId="140CC005" w14:textId="77777777" w:rsidR="00A15CE0" w:rsidRPr="00EB09D5" w:rsidRDefault="00A15CE0">
      <w:pPr>
        <w:spacing w:line="278" w:lineRule="exact"/>
        <w:rPr>
          <w:rFonts w:eastAsia="Times New Roman"/>
          <w:b/>
          <w:bCs/>
          <w:sz w:val="24"/>
          <w:szCs w:val="24"/>
        </w:rPr>
      </w:pPr>
    </w:p>
    <w:p w14:paraId="482F2F8C" w14:textId="77777777" w:rsidR="00A15CE0" w:rsidRPr="00EB09D5" w:rsidRDefault="002900CF">
      <w:pPr>
        <w:numPr>
          <w:ilvl w:val="0"/>
          <w:numId w:val="12"/>
        </w:numPr>
        <w:tabs>
          <w:tab w:val="left" w:pos="344"/>
        </w:tabs>
        <w:ind w:left="344" w:hanging="344"/>
        <w:rPr>
          <w:rFonts w:eastAsia="Times New Roman"/>
          <w:b/>
          <w:bCs/>
          <w:sz w:val="24"/>
          <w:szCs w:val="24"/>
        </w:rPr>
      </w:pPr>
      <w:r w:rsidRPr="00EB09D5">
        <w:rPr>
          <w:rFonts w:eastAsia="Times New Roman"/>
          <w:sz w:val="24"/>
          <w:szCs w:val="24"/>
        </w:rPr>
        <w:t>Zápisnica z rokovania rady s prílohami sa doručuje všetkým členom rady elektronicky.</w:t>
      </w:r>
    </w:p>
    <w:p w14:paraId="553FDC62" w14:textId="77777777" w:rsidR="00A15CE0" w:rsidRPr="00EB09D5" w:rsidRDefault="00A15CE0">
      <w:pPr>
        <w:sectPr w:rsidR="00A15CE0" w:rsidRPr="00EB09D5">
          <w:pgSz w:w="11900" w:h="16838"/>
          <w:pgMar w:top="1418" w:right="1406" w:bottom="1440" w:left="1416" w:header="0" w:footer="0" w:gutter="0"/>
          <w:cols w:space="708" w:equalWidth="0">
            <w:col w:w="9084"/>
          </w:cols>
        </w:sectPr>
      </w:pPr>
    </w:p>
    <w:p w14:paraId="0DF6833B" w14:textId="77777777" w:rsidR="00A15CE0" w:rsidRPr="00EB09D5" w:rsidRDefault="002900CF">
      <w:pPr>
        <w:numPr>
          <w:ilvl w:val="0"/>
          <w:numId w:val="13"/>
        </w:numPr>
        <w:tabs>
          <w:tab w:val="left" w:pos="359"/>
        </w:tabs>
        <w:spacing w:line="236" w:lineRule="auto"/>
        <w:ind w:left="4" w:hanging="4"/>
        <w:jc w:val="both"/>
        <w:rPr>
          <w:rFonts w:eastAsia="Times New Roman"/>
          <w:b/>
          <w:bCs/>
          <w:sz w:val="24"/>
          <w:szCs w:val="24"/>
        </w:rPr>
      </w:pPr>
      <w:bookmarkStart w:id="4" w:name="page5"/>
      <w:bookmarkEnd w:id="4"/>
      <w:r w:rsidRPr="00EB09D5">
        <w:rPr>
          <w:rFonts w:eastAsia="Times New Roman"/>
          <w:sz w:val="24"/>
          <w:szCs w:val="24"/>
        </w:rPr>
        <w:lastRenderedPageBreak/>
        <w:t>Prizvaným osobám alebo subjektom, ktorým z rokovania vyplývajú úlohy, alebo ktorých sa činnosti týkajú, sa zasiela výpis zo zápisnice alebo písomná informácia o záveroch zasadnutia rady.</w:t>
      </w:r>
    </w:p>
    <w:p w14:paraId="451529ED" w14:textId="77777777" w:rsidR="00A15CE0" w:rsidRPr="00EB09D5" w:rsidRDefault="00A15CE0">
      <w:pPr>
        <w:spacing w:line="290" w:lineRule="exact"/>
        <w:rPr>
          <w:rFonts w:eastAsia="Times New Roman"/>
          <w:b/>
          <w:bCs/>
          <w:sz w:val="24"/>
          <w:szCs w:val="24"/>
        </w:rPr>
      </w:pPr>
    </w:p>
    <w:p w14:paraId="57F64B7A" w14:textId="3B15C73A" w:rsidR="00A15CE0" w:rsidRPr="00EB09D5" w:rsidRDefault="002900CF">
      <w:pPr>
        <w:numPr>
          <w:ilvl w:val="0"/>
          <w:numId w:val="13"/>
        </w:numPr>
        <w:tabs>
          <w:tab w:val="left" w:pos="412"/>
        </w:tabs>
        <w:spacing w:line="234" w:lineRule="auto"/>
        <w:ind w:left="4" w:hanging="4"/>
        <w:rPr>
          <w:rFonts w:eastAsia="Times New Roman"/>
          <w:b/>
          <w:bCs/>
          <w:sz w:val="24"/>
          <w:szCs w:val="24"/>
        </w:rPr>
      </w:pPr>
      <w:r w:rsidRPr="00EB09D5">
        <w:rPr>
          <w:rFonts w:eastAsia="Times New Roman"/>
          <w:sz w:val="24"/>
          <w:szCs w:val="24"/>
        </w:rPr>
        <w:t>Zápisnica zo zasadnutia rady sa odosiela najneskôr do 1</w:t>
      </w:r>
      <w:r w:rsidR="00E445FF" w:rsidRPr="00EB09D5">
        <w:rPr>
          <w:rFonts w:eastAsia="Times New Roman"/>
          <w:sz w:val="24"/>
          <w:szCs w:val="24"/>
        </w:rPr>
        <w:t>5</w:t>
      </w:r>
      <w:r w:rsidRPr="00EB09D5">
        <w:rPr>
          <w:rFonts w:eastAsia="Times New Roman"/>
          <w:sz w:val="24"/>
          <w:szCs w:val="24"/>
        </w:rPr>
        <w:t xml:space="preserve"> pracovných dní </w:t>
      </w:r>
      <w:bookmarkStart w:id="5" w:name="_GoBack"/>
      <w:bookmarkEnd w:id="5"/>
      <w:r w:rsidRPr="00EB09D5">
        <w:rPr>
          <w:rFonts w:eastAsia="Times New Roman"/>
          <w:sz w:val="24"/>
          <w:szCs w:val="24"/>
        </w:rPr>
        <w:t>odo dňa nasledujúceho po dni skončenia zasadnutia rady.</w:t>
      </w:r>
    </w:p>
    <w:p w14:paraId="1EBA741E" w14:textId="77777777" w:rsidR="00A15CE0" w:rsidRPr="00EB09D5" w:rsidRDefault="00A15CE0">
      <w:pPr>
        <w:spacing w:line="277" w:lineRule="exact"/>
        <w:rPr>
          <w:rFonts w:eastAsia="Times New Roman"/>
          <w:b/>
          <w:bCs/>
          <w:sz w:val="24"/>
          <w:szCs w:val="24"/>
        </w:rPr>
      </w:pPr>
    </w:p>
    <w:p w14:paraId="720572D8" w14:textId="77777777" w:rsidR="00A15CE0" w:rsidRPr="00EB09D5" w:rsidRDefault="002900CF">
      <w:pPr>
        <w:numPr>
          <w:ilvl w:val="0"/>
          <w:numId w:val="13"/>
        </w:numPr>
        <w:tabs>
          <w:tab w:val="left" w:pos="344"/>
        </w:tabs>
        <w:ind w:left="344" w:hanging="344"/>
        <w:rPr>
          <w:rFonts w:eastAsia="Times New Roman"/>
          <w:b/>
          <w:bCs/>
          <w:color w:val="000000" w:themeColor="text1"/>
          <w:sz w:val="24"/>
          <w:szCs w:val="24"/>
        </w:rPr>
      </w:pPr>
      <w:r w:rsidRPr="00EB09D5">
        <w:rPr>
          <w:rFonts w:eastAsia="Times New Roman"/>
          <w:sz w:val="24"/>
          <w:szCs w:val="24"/>
        </w:rPr>
        <w:t xml:space="preserve">Zápisnicu a všetky materiály </w:t>
      </w:r>
      <w:r w:rsidRPr="00EB09D5">
        <w:rPr>
          <w:rFonts w:eastAsia="Times New Roman"/>
          <w:color w:val="000000" w:themeColor="text1"/>
          <w:sz w:val="24"/>
          <w:szCs w:val="24"/>
        </w:rPr>
        <w:t>súvisiace s rokovaním rady archivuje tajomník rady.</w:t>
      </w:r>
    </w:p>
    <w:p w14:paraId="5613C167" w14:textId="77777777" w:rsidR="00A15CE0" w:rsidRPr="00EB09D5" w:rsidRDefault="00A15CE0">
      <w:pPr>
        <w:spacing w:line="281" w:lineRule="exact"/>
        <w:rPr>
          <w:color w:val="000000" w:themeColor="text1"/>
          <w:sz w:val="20"/>
          <w:szCs w:val="20"/>
        </w:rPr>
      </w:pPr>
    </w:p>
    <w:p w14:paraId="4EEF6CDA" w14:textId="77777777" w:rsidR="00A15CE0" w:rsidRPr="00EB09D5" w:rsidRDefault="002900CF">
      <w:pPr>
        <w:ind w:right="-3"/>
        <w:jc w:val="center"/>
        <w:rPr>
          <w:color w:val="000000" w:themeColor="text1"/>
          <w:sz w:val="20"/>
          <w:szCs w:val="20"/>
        </w:rPr>
      </w:pPr>
      <w:r w:rsidRPr="00EB09D5">
        <w:rPr>
          <w:rFonts w:eastAsia="Times New Roman"/>
          <w:b/>
          <w:bCs/>
          <w:color w:val="000000" w:themeColor="text1"/>
          <w:sz w:val="24"/>
          <w:szCs w:val="24"/>
        </w:rPr>
        <w:t>Čl. 7</w:t>
      </w:r>
    </w:p>
    <w:p w14:paraId="522FB844" w14:textId="77777777" w:rsidR="00A15CE0" w:rsidRPr="00EB09D5" w:rsidRDefault="002900CF">
      <w:pPr>
        <w:ind w:right="-3"/>
        <w:jc w:val="center"/>
        <w:rPr>
          <w:color w:val="000000" w:themeColor="text1"/>
          <w:sz w:val="20"/>
          <w:szCs w:val="20"/>
        </w:rPr>
      </w:pPr>
      <w:r w:rsidRPr="00EB09D5">
        <w:rPr>
          <w:rFonts w:eastAsia="Times New Roman"/>
          <w:b/>
          <w:bCs/>
          <w:color w:val="000000" w:themeColor="text1"/>
          <w:sz w:val="24"/>
          <w:szCs w:val="24"/>
        </w:rPr>
        <w:t>Zmeny a doplnky</w:t>
      </w:r>
    </w:p>
    <w:p w14:paraId="0BBCF713" w14:textId="77777777" w:rsidR="00A15CE0" w:rsidRPr="00EB09D5" w:rsidRDefault="00A15CE0">
      <w:pPr>
        <w:spacing w:line="284" w:lineRule="exact"/>
        <w:rPr>
          <w:color w:val="000000" w:themeColor="text1"/>
          <w:sz w:val="20"/>
          <w:szCs w:val="20"/>
        </w:rPr>
      </w:pPr>
    </w:p>
    <w:p w14:paraId="6B5F5CBB" w14:textId="77777777" w:rsidR="00A15CE0" w:rsidRPr="00EB09D5" w:rsidRDefault="002900CF">
      <w:pPr>
        <w:spacing w:line="234" w:lineRule="auto"/>
        <w:ind w:left="4"/>
        <w:rPr>
          <w:color w:val="000000" w:themeColor="text1"/>
          <w:sz w:val="20"/>
          <w:szCs w:val="20"/>
        </w:rPr>
      </w:pPr>
      <w:r w:rsidRPr="00EB09D5">
        <w:rPr>
          <w:rFonts w:eastAsia="Times New Roman"/>
          <w:color w:val="000000" w:themeColor="text1"/>
          <w:sz w:val="24"/>
          <w:szCs w:val="24"/>
        </w:rPr>
        <w:t>Zmeny a doplnky tohto rokovacieho poriadku schvaľuje rada nadpolovičnou väčšinou všetkých jej členov.</w:t>
      </w:r>
    </w:p>
    <w:p w14:paraId="4475610D" w14:textId="77777777" w:rsidR="00A15CE0" w:rsidRPr="00EB09D5" w:rsidRDefault="00A15CE0">
      <w:pPr>
        <w:spacing w:line="200" w:lineRule="exact"/>
        <w:rPr>
          <w:color w:val="000000" w:themeColor="text1"/>
          <w:sz w:val="20"/>
          <w:szCs w:val="20"/>
        </w:rPr>
      </w:pPr>
    </w:p>
    <w:p w14:paraId="661917F2" w14:textId="77777777" w:rsidR="00A15CE0" w:rsidRPr="00EB09D5" w:rsidRDefault="00A15CE0">
      <w:pPr>
        <w:spacing w:line="358" w:lineRule="exact"/>
        <w:rPr>
          <w:color w:val="000000" w:themeColor="text1"/>
          <w:sz w:val="20"/>
          <w:szCs w:val="20"/>
        </w:rPr>
      </w:pPr>
    </w:p>
    <w:p w14:paraId="6BB89227" w14:textId="77777777" w:rsidR="00A15CE0" w:rsidRPr="00EB09D5" w:rsidRDefault="002900CF">
      <w:pPr>
        <w:ind w:right="-3"/>
        <w:jc w:val="center"/>
        <w:rPr>
          <w:color w:val="000000" w:themeColor="text1"/>
          <w:sz w:val="20"/>
          <w:szCs w:val="20"/>
        </w:rPr>
      </w:pPr>
      <w:r w:rsidRPr="00EB09D5">
        <w:rPr>
          <w:rFonts w:eastAsia="Times New Roman"/>
          <w:b/>
          <w:bCs/>
          <w:color w:val="000000" w:themeColor="text1"/>
          <w:sz w:val="24"/>
          <w:szCs w:val="24"/>
        </w:rPr>
        <w:t>Čl. 8</w:t>
      </w:r>
    </w:p>
    <w:p w14:paraId="22CBC9F2" w14:textId="77777777" w:rsidR="00A15CE0" w:rsidRPr="00EB09D5" w:rsidRDefault="002900CF">
      <w:pPr>
        <w:ind w:right="-3"/>
        <w:jc w:val="center"/>
        <w:rPr>
          <w:color w:val="000000" w:themeColor="text1"/>
          <w:sz w:val="20"/>
          <w:szCs w:val="20"/>
        </w:rPr>
      </w:pPr>
      <w:r w:rsidRPr="00EB09D5">
        <w:rPr>
          <w:rFonts w:eastAsia="Times New Roman"/>
          <w:b/>
          <w:bCs/>
          <w:color w:val="000000" w:themeColor="text1"/>
          <w:sz w:val="24"/>
          <w:szCs w:val="24"/>
        </w:rPr>
        <w:t>Účinnosť</w:t>
      </w:r>
    </w:p>
    <w:p w14:paraId="7F0F126A" w14:textId="77777777" w:rsidR="00A15CE0" w:rsidRPr="00EB09D5" w:rsidRDefault="00A15CE0">
      <w:pPr>
        <w:spacing w:line="271" w:lineRule="exact"/>
        <w:rPr>
          <w:sz w:val="20"/>
          <w:szCs w:val="20"/>
        </w:rPr>
      </w:pPr>
    </w:p>
    <w:p w14:paraId="004273FB" w14:textId="77777777" w:rsidR="00A15CE0" w:rsidRDefault="002900CF">
      <w:pPr>
        <w:ind w:left="4"/>
        <w:rPr>
          <w:sz w:val="20"/>
          <w:szCs w:val="20"/>
        </w:rPr>
      </w:pPr>
      <w:r w:rsidRPr="00EB09D5">
        <w:rPr>
          <w:rFonts w:eastAsia="Times New Roman"/>
          <w:sz w:val="24"/>
          <w:szCs w:val="24"/>
        </w:rPr>
        <w:t>Tento rokovací poriadok nadobúda účinnosť dňom jeho schválenia radou.</w:t>
      </w:r>
    </w:p>
    <w:p w14:paraId="1068273F" w14:textId="77777777" w:rsidR="00A15CE0" w:rsidRDefault="00A15CE0">
      <w:pPr>
        <w:spacing w:line="200" w:lineRule="exact"/>
        <w:rPr>
          <w:sz w:val="20"/>
          <w:szCs w:val="20"/>
        </w:rPr>
      </w:pPr>
    </w:p>
    <w:p w14:paraId="06B6652C" w14:textId="77777777" w:rsidR="00A15CE0" w:rsidRDefault="00A15CE0">
      <w:pPr>
        <w:spacing w:line="200" w:lineRule="exact"/>
        <w:rPr>
          <w:sz w:val="20"/>
          <w:szCs w:val="20"/>
        </w:rPr>
      </w:pPr>
    </w:p>
    <w:p w14:paraId="1E53FD31" w14:textId="77777777" w:rsidR="00A15CE0" w:rsidRDefault="00A15CE0">
      <w:pPr>
        <w:spacing w:line="200" w:lineRule="exact"/>
        <w:rPr>
          <w:sz w:val="20"/>
          <w:szCs w:val="20"/>
        </w:rPr>
      </w:pPr>
    </w:p>
    <w:p w14:paraId="17251348" w14:textId="77777777" w:rsidR="00A15CE0" w:rsidRDefault="00A15CE0">
      <w:pPr>
        <w:spacing w:line="200" w:lineRule="exact"/>
        <w:rPr>
          <w:sz w:val="20"/>
          <w:szCs w:val="20"/>
        </w:rPr>
      </w:pPr>
    </w:p>
    <w:p w14:paraId="04616BFB" w14:textId="77777777" w:rsidR="00A15CE0" w:rsidRDefault="00A15CE0">
      <w:pPr>
        <w:spacing w:line="200" w:lineRule="exact"/>
        <w:rPr>
          <w:sz w:val="20"/>
          <w:szCs w:val="20"/>
        </w:rPr>
      </w:pPr>
    </w:p>
    <w:p w14:paraId="28781FDA" w14:textId="77777777" w:rsidR="00A15CE0" w:rsidRDefault="00A15CE0">
      <w:pPr>
        <w:spacing w:line="200" w:lineRule="exact"/>
        <w:rPr>
          <w:sz w:val="20"/>
          <w:szCs w:val="20"/>
        </w:rPr>
      </w:pPr>
    </w:p>
    <w:p w14:paraId="236AB35B" w14:textId="77777777" w:rsidR="00A15CE0" w:rsidRDefault="00A15CE0">
      <w:pPr>
        <w:spacing w:line="200" w:lineRule="exact"/>
        <w:rPr>
          <w:sz w:val="20"/>
          <w:szCs w:val="20"/>
        </w:rPr>
      </w:pPr>
    </w:p>
    <w:p w14:paraId="4F6F76A2" w14:textId="77777777" w:rsidR="00A15CE0" w:rsidRDefault="00A15CE0">
      <w:pPr>
        <w:spacing w:line="200" w:lineRule="exact"/>
        <w:rPr>
          <w:sz w:val="20"/>
          <w:szCs w:val="20"/>
        </w:rPr>
      </w:pPr>
    </w:p>
    <w:p w14:paraId="0227171F" w14:textId="77777777" w:rsidR="00A15CE0" w:rsidRDefault="00A15CE0">
      <w:pPr>
        <w:ind w:left="4"/>
        <w:rPr>
          <w:sz w:val="20"/>
          <w:szCs w:val="20"/>
        </w:rPr>
      </w:pPr>
    </w:p>
    <w:sectPr w:rsidR="00A15CE0">
      <w:pgSz w:w="11900" w:h="16838"/>
      <w:pgMar w:top="1418" w:right="1426" w:bottom="1440" w:left="1416" w:header="0" w:footer="0" w:gutter="0"/>
      <w:cols w:space="708" w:equalWidth="0">
        <w:col w:w="906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1862D31A"/>
    <w:lvl w:ilvl="0" w:tplc="31CCE64E">
      <w:start w:val="7"/>
      <w:numFmt w:val="decimal"/>
      <w:lvlText w:val="(%1)"/>
      <w:lvlJc w:val="left"/>
    </w:lvl>
    <w:lvl w:ilvl="1" w:tplc="0388D010">
      <w:numFmt w:val="decimal"/>
      <w:lvlText w:val=""/>
      <w:lvlJc w:val="left"/>
    </w:lvl>
    <w:lvl w:ilvl="2" w:tplc="A122312E">
      <w:numFmt w:val="decimal"/>
      <w:lvlText w:val=""/>
      <w:lvlJc w:val="left"/>
    </w:lvl>
    <w:lvl w:ilvl="3" w:tplc="1DF0098C">
      <w:numFmt w:val="decimal"/>
      <w:lvlText w:val=""/>
      <w:lvlJc w:val="left"/>
    </w:lvl>
    <w:lvl w:ilvl="4" w:tplc="795C52D4">
      <w:numFmt w:val="decimal"/>
      <w:lvlText w:val=""/>
      <w:lvlJc w:val="left"/>
    </w:lvl>
    <w:lvl w:ilvl="5" w:tplc="E65C13D0">
      <w:numFmt w:val="decimal"/>
      <w:lvlText w:val=""/>
      <w:lvlJc w:val="left"/>
    </w:lvl>
    <w:lvl w:ilvl="6" w:tplc="93FCA680">
      <w:numFmt w:val="decimal"/>
      <w:lvlText w:val=""/>
      <w:lvlJc w:val="left"/>
    </w:lvl>
    <w:lvl w:ilvl="7" w:tplc="E9E0FBF2">
      <w:numFmt w:val="decimal"/>
      <w:lvlText w:val=""/>
      <w:lvlJc w:val="left"/>
    </w:lvl>
    <w:lvl w:ilvl="8" w:tplc="2CDA1E0E">
      <w:numFmt w:val="decimal"/>
      <w:lvlText w:val=""/>
      <w:lvlJc w:val="left"/>
    </w:lvl>
  </w:abstractNum>
  <w:abstractNum w:abstractNumId="1" w15:restartNumberingAfterBreak="0">
    <w:nsid w:val="1190CDE7"/>
    <w:multiLevelType w:val="hybridMultilevel"/>
    <w:tmpl w:val="CE62111C"/>
    <w:lvl w:ilvl="0" w:tplc="B7585556">
      <w:start w:val="5"/>
      <w:numFmt w:val="decimal"/>
      <w:lvlText w:val="(%1)"/>
      <w:lvlJc w:val="left"/>
    </w:lvl>
    <w:lvl w:ilvl="1" w:tplc="383CD568">
      <w:numFmt w:val="decimal"/>
      <w:lvlText w:val=""/>
      <w:lvlJc w:val="left"/>
    </w:lvl>
    <w:lvl w:ilvl="2" w:tplc="8CB809FA">
      <w:numFmt w:val="decimal"/>
      <w:lvlText w:val=""/>
      <w:lvlJc w:val="left"/>
    </w:lvl>
    <w:lvl w:ilvl="3" w:tplc="394EE334">
      <w:numFmt w:val="decimal"/>
      <w:lvlText w:val=""/>
      <w:lvlJc w:val="left"/>
    </w:lvl>
    <w:lvl w:ilvl="4" w:tplc="FAB82EEE">
      <w:numFmt w:val="decimal"/>
      <w:lvlText w:val=""/>
      <w:lvlJc w:val="left"/>
    </w:lvl>
    <w:lvl w:ilvl="5" w:tplc="E95AA07A">
      <w:numFmt w:val="decimal"/>
      <w:lvlText w:val=""/>
      <w:lvlJc w:val="left"/>
    </w:lvl>
    <w:lvl w:ilvl="6" w:tplc="F33872EC">
      <w:numFmt w:val="decimal"/>
      <w:lvlText w:val=""/>
      <w:lvlJc w:val="left"/>
    </w:lvl>
    <w:lvl w:ilvl="7" w:tplc="683E9BEE">
      <w:numFmt w:val="decimal"/>
      <w:lvlText w:val=""/>
      <w:lvlJc w:val="left"/>
    </w:lvl>
    <w:lvl w:ilvl="8" w:tplc="8A488E58">
      <w:numFmt w:val="decimal"/>
      <w:lvlText w:val=""/>
      <w:lvlJc w:val="left"/>
    </w:lvl>
  </w:abstractNum>
  <w:abstractNum w:abstractNumId="2" w15:restartNumberingAfterBreak="0">
    <w:nsid w:val="12200854"/>
    <w:multiLevelType w:val="hybridMultilevel"/>
    <w:tmpl w:val="ECD8D6CA"/>
    <w:lvl w:ilvl="0" w:tplc="B0F08CA8">
      <w:start w:val="1"/>
      <w:numFmt w:val="decimal"/>
      <w:lvlText w:val="(%1)"/>
      <w:lvlJc w:val="left"/>
    </w:lvl>
    <w:lvl w:ilvl="1" w:tplc="7030601E">
      <w:numFmt w:val="decimal"/>
      <w:lvlText w:val=""/>
      <w:lvlJc w:val="left"/>
    </w:lvl>
    <w:lvl w:ilvl="2" w:tplc="C1881D30">
      <w:numFmt w:val="decimal"/>
      <w:lvlText w:val=""/>
      <w:lvlJc w:val="left"/>
    </w:lvl>
    <w:lvl w:ilvl="3" w:tplc="3A2AADDA">
      <w:numFmt w:val="decimal"/>
      <w:lvlText w:val=""/>
      <w:lvlJc w:val="left"/>
    </w:lvl>
    <w:lvl w:ilvl="4" w:tplc="FC6C3FFC">
      <w:numFmt w:val="decimal"/>
      <w:lvlText w:val=""/>
      <w:lvlJc w:val="left"/>
    </w:lvl>
    <w:lvl w:ilvl="5" w:tplc="FAE27336">
      <w:numFmt w:val="decimal"/>
      <w:lvlText w:val=""/>
      <w:lvlJc w:val="left"/>
    </w:lvl>
    <w:lvl w:ilvl="6" w:tplc="55122D78">
      <w:numFmt w:val="decimal"/>
      <w:lvlText w:val=""/>
      <w:lvlJc w:val="left"/>
    </w:lvl>
    <w:lvl w:ilvl="7" w:tplc="CB6A4BBC">
      <w:numFmt w:val="decimal"/>
      <w:lvlText w:val=""/>
      <w:lvlJc w:val="left"/>
    </w:lvl>
    <w:lvl w:ilvl="8" w:tplc="F6302FDE">
      <w:numFmt w:val="decimal"/>
      <w:lvlText w:val=""/>
      <w:lvlJc w:val="left"/>
    </w:lvl>
  </w:abstractNum>
  <w:abstractNum w:abstractNumId="3" w15:restartNumberingAfterBreak="0">
    <w:nsid w:val="140E0F76"/>
    <w:multiLevelType w:val="hybridMultilevel"/>
    <w:tmpl w:val="B7CA4C60"/>
    <w:lvl w:ilvl="0" w:tplc="65B6741A">
      <w:start w:val="1"/>
      <w:numFmt w:val="decimal"/>
      <w:lvlText w:val="(%1)"/>
      <w:lvlJc w:val="left"/>
    </w:lvl>
    <w:lvl w:ilvl="1" w:tplc="836659BC">
      <w:numFmt w:val="decimal"/>
      <w:lvlText w:val=""/>
      <w:lvlJc w:val="left"/>
    </w:lvl>
    <w:lvl w:ilvl="2" w:tplc="1354C1D4">
      <w:numFmt w:val="decimal"/>
      <w:lvlText w:val=""/>
      <w:lvlJc w:val="left"/>
    </w:lvl>
    <w:lvl w:ilvl="3" w:tplc="95405E8A">
      <w:numFmt w:val="decimal"/>
      <w:lvlText w:val=""/>
      <w:lvlJc w:val="left"/>
    </w:lvl>
    <w:lvl w:ilvl="4" w:tplc="3FB6B4EA">
      <w:numFmt w:val="decimal"/>
      <w:lvlText w:val=""/>
      <w:lvlJc w:val="left"/>
    </w:lvl>
    <w:lvl w:ilvl="5" w:tplc="EE026566">
      <w:numFmt w:val="decimal"/>
      <w:lvlText w:val=""/>
      <w:lvlJc w:val="left"/>
    </w:lvl>
    <w:lvl w:ilvl="6" w:tplc="712E4DAA">
      <w:numFmt w:val="decimal"/>
      <w:lvlText w:val=""/>
      <w:lvlJc w:val="left"/>
    </w:lvl>
    <w:lvl w:ilvl="7" w:tplc="0CC41AF8">
      <w:numFmt w:val="decimal"/>
      <w:lvlText w:val=""/>
      <w:lvlJc w:val="left"/>
    </w:lvl>
    <w:lvl w:ilvl="8" w:tplc="F0AEF1AC">
      <w:numFmt w:val="decimal"/>
      <w:lvlText w:val=""/>
      <w:lvlJc w:val="left"/>
    </w:lvl>
  </w:abstractNum>
  <w:abstractNum w:abstractNumId="4" w15:restartNumberingAfterBreak="0">
    <w:nsid w:val="1F16E9E8"/>
    <w:multiLevelType w:val="hybridMultilevel"/>
    <w:tmpl w:val="5A6C640E"/>
    <w:lvl w:ilvl="0" w:tplc="C346F366">
      <w:start w:val="1"/>
      <w:numFmt w:val="decimal"/>
      <w:lvlText w:val="(%1)"/>
      <w:lvlJc w:val="left"/>
    </w:lvl>
    <w:lvl w:ilvl="1" w:tplc="1044564C">
      <w:numFmt w:val="decimal"/>
      <w:lvlText w:val=""/>
      <w:lvlJc w:val="left"/>
    </w:lvl>
    <w:lvl w:ilvl="2" w:tplc="36B66610">
      <w:numFmt w:val="decimal"/>
      <w:lvlText w:val=""/>
      <w:lvlJc w:val="left"/>
    </w:lvl>
    <w:lvl w:ilvl="3" w:tplc="CACA5CE2">
      <w:numFmt w:val="decimal"/>
      <w:lvlText w:val=""/>
      <w:lvlJc w:val="left"/>
    </w:lvl>
    <w:lvl w:ilvl="4" w:tplc="D72A0400">
      <w:numFmt w:val="decimal"/>
      <w:lvlText w:val=""/>
      <w:lvlJc w:val="left"/>
    </w:lvl>
    <w:lvl w:ilvl="5" w:tplc="C5248850">
      <w:numFmt w:val="decimal"/>
      <w:lvlText w:val=""/>
      <w:lvlJc w:val="left"/>
    </w:lvl>
    <w:lvl w:ilvl="6" w:tplc="CAC211B4">
      <w:numFmt w:val="decimal"/>
      <w:lvlText w:val=""/>
      <w:lvlJc w:val="left"/>
    </w:lvl>
    <w:lvl w:ilvl="7" w:tplc="8EB4F324">
      <w:numFmt w:val="decimal"/>
      <w:lvlText w:val=""/>
      <w:lvlJc w:val="left"/>
    </w:lvl>
    <w:lvl w:ilvl="8" w:tplc="5468A0A2">
      <w:numFmt w:val="decimal"/>
      <w:lvlText w:val=""/>
      <w:lvlJc w:val="left"/>
    </w:lvl>
  </w:abstractNum>
  <w:abstractNum w:abstractNumId="5" w15:restartNumberingAfterBreak="0">
    <w:nsid w:val="3352255A"/>
    <w:multiLevelType w:val="hybridMultilevel"/>
    <w:tmpl w:val="0226BC2C"/>
    <w:lvl w:ilvl="0" w:tplc="8A485F12">
      <w:start w:val="5"/>
      <w:numFmt w:val="decimal"/>
      <w:lvlText w:val="(%1)"/>
      <w:lvlJc w:val="left"/>
    </w:lvl>
    <w:lvl w:ilvl="1" w:tplc="8A02EA6A">
      <w:numFmt w:val="decimal"/>
      <w:lvlText w:val=""/>
      <w:lvlJc w:val="left"/>
    </w:lvl>
    <w:lvl w:ilvl="2" w:tplc="827408D4">
      <w:numFmt w:val="decimal"/>
      <w:lvlText w:val=""/>
      <w:lvlJc w:val="left"/>
    </w:lvl>
    <w:lvl w:ilvl="3" w:tplc="060EBA5E">
      <w:numFmt w:val="decimal"/>
      <w:lvlText w:val=""/>
      <w:lvlJc w:val="left"/>
    </w:lvl>
    <w:lvl w:ilvl="4" w:tplc="61789FEC">
      <w:numFmt w:val="decimal"/>
      <w:lvlText w:val=""/>
      <w:lvlJc w:val="left"/>
    </w:lvl>
    <w:lvl w:ilvl="5" w:tplc="88EE77B2">
      <w:numFmt w:val="decimal"/>
      <w:lvlText w:val=""/>
      <w:lvlJc w:val="left"/>
    </w:lvl>
    <w:lvl w:ilvl="6" w:tplc="7B66772A">
      <w:numFmt w:val="decimal"/>
      <w:lvlText w:val=""/>
      <w:lvlJc w:val="left"/>
    </w:lvl>
    <w:lvl w:ilvl="7" w:tplc="29089084">
      <w:numFmt w:val="decimal"/>
      <w:lvlText w:val=""/>
      <w:lvlJc w:val="left"/>
    </w:lvl>
    <w:lvl w:ilvl="8" w:tplc="894465EE">
      <w:numFmt w:val="decimal"/>
      <w:lvlText w:val=""/>
      <w:lvlJc w:val="left"/>
    </w:lvl>
  </w:abstractNum>
  <w:abstractNum w:abstractNumId="6" w15:restartNumberingAfterBreak="0">
    <w:nsid w:val="41B71EFB"/>
    <w:multiLevelType w:val="hybridMultilevel"/>
    <w:tmpl w:val="F3F0D386"/>
    <w:lvl w:ilvl="0" w:tplc="6786125C">
      <w:start w:val="1"/>
      <w:numFmt w:val="decimal"/>
      <w:lvlText w:val="(%1)"/>
      <w:lvlJc w:val="left"/>
    </w:lvl>
    <w:lvl w:ilvl="1" w:tplc="DA709A20">
      <w:numFmt w:val="decimal"/>
      <w:lvlText w:val=""/>
      <w:lvlJc w:val="left"/>
    </w:lvl>
    <w:lvl w:ilvl="2" w:tplc="35AED010">
      <w:numFmt w:val="decimal"/>
      <w:lvlText w:val=""/>
      <w:lvlJc w:val="left"/>
    </w:lvl>
    <w:lvl w:ilvl="3" w:tplc="ADA8930C">
      <w:numFmt w:val="decimal"/>
      <w:lvlText w:val=""/>
      <w:lvlJc w:val="left"/>
    </w:lvl>
    <w:lvl w:ilvl="4" w:tplc="CD723AB6">
      <w:numFmt w:val="decimal"/>
      <w:lvlText w:val=""/>
      <w:lvlJc w:val="left"/>
    </w:lvl>
    <w:lvl w:ilvl="5" w:tplc="C14C2A38">
      <w:numFmt w:val="decimal"/>
      <w:lvlText w:val=""/>
      <w:lvlJc w:val="left"/>
    </w:lvl>
    <w:lvl w:ilvl="6" w:tplc="EC52C534">
      <w:numFmt w:val="decimal"/>
      <w:lvlText w:val=""/>
      <w:lvlJc w:val="left"/>
    </w:lvl>
    <w:lvl w:ilvl="7" w:tplc="CF78C57C">
      <w:numFmt w:val="decimal"/>
      <w:lvlText w:val=""/>
      <w:lvlJc w:val="left"/>
    </w:lvl>
    <w:lvl w:ilvl="8" w:tplc="D53AA104">
      <w:numFmt w:val="decimal"/>
      <w:lvlText w:val=""/>
      <w:lvlJc w:val="left"/>
    </w:lvl>
  </w:abstractNum>
  <w:abstractNum w:abstractNumId="7" w15:restartNumberingAfterBreak="0">
    <w:nsid w:val="4DB127F8"/>
    <w:multiLevelType w:val="hybridMultilevel"/>
    <w:tmpl w:val="D9FA0670"/>
    <w:lvl w:ilvl="0" w:tplc="5A7A4D6E">
      <w:start w:val="1"/>
      <w:numFmt w:val="lowerLetter"/>
      <w:lvlText w:val="%1)"/>
      <w:lvlJc w:val="left"/>
    </w:lvl>
    <w:lvl w:ilvl="1" w:tplc="C51E9BFE">
      <w:numFmt w:val="decimal"/>
      <w:lvlText w:val=""/>
      <w:lvlJc w:val="left"/>
    </w:lvl>
    <w:lvl w:ilvl="2" w:tplc="D744FC8C">
      <w:numFmt w:val="decimal"/>
      <w:lvlText w:val=""/>
      <w:lvlJc w:val="left"/>
    </w:lvl>
    <w:lvl w:ilvl="3" w:tplc="5130F478">
      <w:numFmt w:val="decimal"/>
      <w:lvlText w:val=""/>
      <w:lvlJc w:val="left"/>
    </w:lvl>
    <w:lvl w:ilvl="4" w:tplc="3C2A6D30">
      <w:numFmt w:val="decimal"/>
      <w:lvlText w:val=""/>
      <w:lvlJc w:val="left"/>
    </w:lvl>
    <w:lvl w:ilvl="5" w:tplc="2FE4B492">
      <w:numFmt w:val="decimal"/>
      <w:lvlText w:val=""/>
      <w:lvlJc w:val="left"/>
    </w:lvl>
    <w:lvl w:ilvl="6" w:tplc="F034BE76">
      <w:numFmt w:val="decimal"/>
      <w:lvlText w:val=""/>
      <w:lvlJc w:val="left"/>
    </w:lvl>
    <w:lvl w:ilvl="7" w:tplc="5D6458B6">
      <w:numFmt w:val="decimal"/>
      <w:lvlText w:val=""/>
      <w:lvlJc w:val="left"/>
    </w:lvl>
    <w:lvl w:ilvl="8" w:tplc="A1408AD8">
      <w:numFmt w:val="decimal"/>
      <w:lvlText w:val=""/>
      <w:lvlJc w:val="left"/>
    </w:lvl>
  </w:abstractNum>
  <w:abstractNum w:abstractNumId="8" w15:restartNumberingAfterBreak="0">
    <w:nsid w:val="515F007C"/>
    <w:multiLevelType w:val="hybridMultilevel"/>
    <w:tmpl w:val="88A240D6"/>
    <w:lvl w:ilvl="0" w:tplc="9D30E97E">
      <w:start w:val="4"/>
      <w:numFmt w:val="lowerLetter"/>
      <w:lvlText w:val="%1)"/>
      <w:lvlJc w:val="left"/>
    </w:lvl>
    <w:lvl w:ilvl="1" w:tplc="2DDA7A7E">
      <w:numFmt w:val="decimal"/>
      <w:lvlText w:val=""/>
      <w:lvlJc w:val="left"/>
    </w:lvl>
    <w:lvl w:ilvl="2" w:tplc="CDA831A4">
      <w:numFmt w:val="decimal"/>
      <w:lvlText w:val=""/>
      <w:lvlJc w:val="left"/>
    </w:lvl>
    <w:lvl w:ilvl="3" w:tplc="EF0E9D64">
      <w:numFmt w:val="decimal"/>
      <w:lvlText w:val=""/>
      <w:lvlJc w:val="left"/>
    </w:lvl>
    <w:lvl w:ilvl="4" w:tplc="88B4CB8E">
      <w:numFmt w:val="decimal"/>
      <w:lvlText w:val=""/>
      <w:lvlJc w:val="left"/>
    </w:lvl>
    <w:lvl w:ilvl="5" w:tplc="7F94CFC4">
      <w:numFmt w:val="decimal"/>
      <w:lvlText w:val=""/>
      <w:lvlJc w:val="left"/>
    </w:lvl>
    <w:lvl w:ilvl="6" w:tplc="151ACF90">
      <w:numFmt w:val="decimal"/>
      <w:lvlText w:val=""/>
      <w:lvlJc w:val="left"/>
    </w:lvl>
    <w:lvl w:ilvl="7" w:tplc="68E69BCE">
      <w:numFmt w:val="decimal"/>
      <w:lvlText w:val=""/>
      <w:lvlJc w:val="left"/>
    </w:lvl>
    <w:lvl w:ilvl="8" w:tplc="B180FB14">
      <w:numFmt w:val="decimal"/>
      <w:lvlText w:val=""/>
      <w:lvlJc w:val="left"/>
    </w:lvl>
  </w:abstractNum>
  <w:abstractNum w:abstractNumId="9" w15:restartNumberingAfterBreak="0">
    <w:nsid w:val="5BD062C2"/>
    <w:multiLevelType w:val="hybridMultilevel"/>
    <w:tmpl w:val="D99EFACC"/>
    <w:lvl w:ilvl="0" w:tplc="0462A0EE">
      <w:start w:val="1"/>
      <w:numFmt w:val="decimal"/>
      <w:lvlText w:val="(%1)"/>
      <w:lvlJc w:val="left"/>
    </w:lvl>
    <w:lvl w:ilvl="1" w:tplc="38E89AF4">
      <w:numFmt w:val="decimal"/>
      <w:lvlText w:val=""/>
      <w:lvlJc w:val="left"/>
    </w:lvl>
    <w:lvl w:ilvl="2" w:tplc="1DC68D22">
      <w:numFmt w:val="decimal"/>
      <w:lvlText w:val=""/>
      <w:lvlJc w:val="left"/>
    </w:lvl>
    <w:lvl w:ilvl="3" w:tplc="E934F804">
      <w:numFmt w:val="decimal"/>
      <w:lvlText w:val=""/>
      <w:lvlJc w:val="left"/>
    </w:lvl>
    <w:lvl w:ilvl="4" w:tplc="76921F02">
      <w:numFmt w:val="decimal"/>
      <w:lvlText w:val=""/>
      <w:lvlJc w:val="left"/>
    </w:lvl>
    <w:lvl w:ilvl="5" w:tplc="1A4C13AC">
      <w:numFmt w:val="decimal"/>
      <w:lvlText w:val=""/>
      <w:lvlJc w:val="left"/>
    </w:lvl>
    <w:lvl w:ilvl="6" w:tplc="116A6F3C">
      <w:numFmt w:val="decimal"/>
      <w:lvlText w:val=""/>
      <w:lvlJc w:val="left"/>
    </w:lvl>
    <w:lvl w:ilvl="7" w:tplc="EF729DB2">
      <w:numFmt w:val="decimal"/>
      <w:lvlText w:val=""/>
      <w:lvlJc w:val="left"/>
    </w:lvl>
    <w:lvl w:ilvl="8" w:tplc="67161BFC">
      <w:numFmt w:val="decimal"/>
      <w:lvlText w:val=""/>
      <w:lvlJc w:val="left"/>
    </w:lvl>
  </w:abstractNum>
  <w:abstractNum w:abstractNumId="10" w15:restartNumberingAfterBreak="0">
    <w:nsid w:val="66EF438D"/>
    <w:multiLevelType w:val="hybridMultilevel"/>
    <w:tmpl w:val="561C0B52"/>
    <w:lvl w:ilvl="0" w:tplc="91969A7E">
      <w:start w:val="1"/>
      <w:numFmt w:val="decimal"/>
      <w:lvlText w:val="(%1)"/>
      <w:lvlJc w:val="left"/>
    </w:lvl>
    <w:lvl w:ilvl="1" w:tplc="3E826AC0">
      <w:numFmt w:val="decimal"/>
      <w:lvlText w:val=""/>
      <w:lvlJc w:val="left"/>
    </w:lvl>
    <w:lvl w:ilvl="2" w:tplc="C4DA9310">
      <w:numFmt w:val="decimal"/>
      <w:lvlText w:val=""/>
      <w:lvlJc w:val="left"/>
    </w:lvl>
    <w:lvl w:ilvl="3" w:tplc="5E102A9C">
      <w:numFmt w:val="decimal"/>
      <w:lvlText w:val=""/>
      <w:lvlJc w:val="left"/>
    </w:lvl>
    <w:lvl w:ilvl="4" w:tplc="2AE26F54">
      <w:numFmt w:val="decimal"/>
      <w:lvlText w:val=""/>
      <w:lvlJc w:val="left"/>
    </w:lvl>
    <w:lvl w:ilvl="5" w:tplc="4CA27308">
      <w:numFmt w:val="decimal"/>
      <w:lvlText w:val=""/>
      <w:lvlJc w:val="left"/>
    </w:lvl>
    <w:lvl w:ilvl="6" w:tplc="7528255A">
      <w:numFmt w:val="decimal"/>
      <w:lvlText w:val=""/>
      <w:lvlJc w:val="left"/>
    </w:lvl>
    <w:lvl w:ilvl="7" w:tplc="4F26D6B4">
      <w:numFmt w:val="decimal"/>
      <w:lvlText w:val=""/>
      <w:lvlJc w:val="left"/>
    </w:lvl>
    <w:lvl w:ilvl="8" w:tplc="716A4C20">
      <w:numFmt w:val="decimal"/>
      <w:lvlText w:val=""/>
      <w:lvlJc w:val="left"/>
    </w:lvl>
  </w:abstractNum>
  <w:abstractNum w:abstractNumId="11" w15:restartNumberingAfterBreak="0">
    <w:nsid w:val="7545E146"/>
    <w:multiLevelType w:val="hybridMultilevel"/>
    <w:tmpl w:val="46849280"/>
    <w:lvl w:ilvl="0" w:tplc="B60EEA6A">
      <w:start w:val="1"/>
      <w:numFmt w:val="lowerLetter"/>
      <w:lvlText w:val="%1)"/>
      <w:lvlJc w:val="left"/>
    </w:lvl>
    <w:lvl w:ilvl="1" w:tplc="9E60325C">
      <w:numFmt w:val="decimal"/>
      <w:lvlText w:val=""/>
      <w:lvlJc w:val="left"/>
    </w:lvl>
    <w:lvl w:ilvl="2" w:tplc="4BB492C2">
      <w:numFmt w:val="decimal"/>
      <w:lvlText w:val=""/>
      <w:lvlJc w:val="left"/>
    </w:lvl>
    <w:lvl w:ilvl="3" w:tplc="87B46854">
      <w:numFmt w:val="decimal"/>
      <w:lvlText w:val=""/>
      <w:lvlJc w:val="left"/>
    </w:lvl>
    <w:lvl w:ilvl="4" w:tplc="C9705146">
      <w:numFmt w:val="decimal"/>
      <w:lvlText w:val=""/>
      <w:lvlJc w:val="left"/>
    </w:lvl>
    <w:lvl w:ilvl="5" w:tplc="70586DF8">
      <w:numFmt w:val="decimal"/>
      <w:lvlText w:val=""/>
      <w:lvlJc w:val="left"/>
    </w:lvl>
    <w:lvl w:ilvl="6" w:tplc="588099A2">
      <w:numFmt w:val="decimal"/>
      <w:lvlText w:val=""/>
      <w:lvlJc w:val="left"/>
    </w:lvl>
    <w:lvl w:ilvl="7" w:tplc="5AAE34F4">
      <w:numFmt w:val="decimal"/>
      <w:lvlText w:val=""/>
      <w:lvlJc w:val="left"/>
    </w:lvl>
    <w:lvl w:ilvl="8" w:tplc="EFD69A94">
      <w:numFmt w:val="decimal"/>
      <w:lvlText w:val=""/>
      <w:lvlJc w:val="left"/>
    </w:lvl>
  </w:abstractNum>
  <w:abstractNum w:abstractNumId="12" w15:restartNumberingAfterBreak="0">
    <w:nsid w:val="79E2A9E3"/>
    <w:multiLevelType w:val="hybridMultilevel"/>
    <w:tmpl w:val="90BC2082"/>
    <w:lvl w:ilvl="0" w:tplc="946EC6A2">
      <w:start w:val="1"/>
      <w:numFmt w:val="decimal"/>
      <w:lvlText w:val="(%1)"/>
      <w:lvlJc w:val="left"/>
    </w:lvl>
    <w:lvl w:ilvl="1" w:tplc="DC380CB6">
      <w:numFmt w:val="decimal"/>
      <w:lvlText w:val=""/>
      <w:lvlJc w:val="left"/>
    </w:lvl>
    <w:lvl w:ilvl="2" w:tplc="E0D6FB62">
      <w:numFmt w:val="decimal"/>
      <w:lvlText w:val=""/>
      <w:lvlJc w:val="left"/>
    </w:lvl>
    <w:lvl w:ilvl="3" w:tplc="84C294C8">
      <w:numFmt w:val="decimal"/>
      <w:lvlText w:val=""/>
      <w:lvlJc w:val="left"/>
    </w:lvl>
    <w:lvl w:ilvl="4" w:tplc="26C81FB2">
      <w:numFmt w:val="decimal"/>
      <w:lvlText w:val=""/>
      <w:lvlJc w:val="left"/>
    </w:lvl>
    <w:lvl w:ilvl="5" w:tplc="4FE22832">
      <w:numFmt w:val="decimal"/>
      <w:lvlText w:val=""/>
      <w:lvlJc w:val="left"/>
    </w:lvl>
    <w:lvl w:ilvl="6" w:tplc="5FF47618">
      <w:numFmt w:val="decimal"/>
      <w:lvlText w:val=""/>
      <w:lvlJc w:val="left"/>
    </w:lvl>
    <w:lvl w:ilvl="7" w:tplc="F15CF3BE">
      <w:numFmt w:val="decimal"/>
      <w:lvlText w:val=""/>
      <w:lvlJc w:val="left"/>
    </w:lvl>
    <w:lvl w:ilvl="8" w:tplc="69E26BC0">
      <w:numFmt w:val="decimal"/>
      <w:lvlText w:val=""/>
      <w:lvlJc w:val="left"/>
    </w:lvl>
  </w:abstractNum>
  <w:num w:numId="1">
    <w:abstractNumId w:val="6"/>
  </w:num>
  <w:num w:numId="2">
    <w:abstractNumId w:val="12"/>
  </w:num>
  <w:num w:numId="3">
    <w:abstractNumId w:val="11"/>
  </w:num>
  <w:num w:numId="4">
    <w:abstractNumId w:val="8"/>
  </w:num>
  <w:num w:numId="5">
    <w:abstractNumId w:val="9"/>
  </w:num>
  <w:num w:numId="6">
    <w:abstractNumId w:val="2"/>
  </w:num>
  <w:num w:numId="7">
    <w:abstractNumId w:val="7"/>
  </w:num>
  <w:num w:numId="8">
    <w:abstractNumId w:val="0"/>
  </w:num>
  <w:num w:numId="9">
    <w:abstractNumId w:val="4"/>
  </w:num>
  <w:num w:numId="10">
    <w:abstractNumId w:val="1"/>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E0"/>
    <w:rsid w:val="00010F10"/>
    <w:rsid w:val="0010323F"/>
    <w:rsid w:val="002900CF"/>
    <w:rsid w:val="00433214"/>
    <w:rsid w:val="005955BD"/>
    <w:rsid w:val="00827F8E"/>
    <w:rsid w:val="00A15CE0"/>
    <w:rsid w:val="00D74B3A"/>
    <w:rsid w:val="00E445FF"/>
    <w:rsid w:val="00EB09D5"/>
    <w:rsid w:val="00EF5B3B"/>
    <w:rsid w:val="00F46AE4"/>
    <w:rsid w:val="00FF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1C3C"/>
  <w15:docId w15:val="{1C8A82B3-E984-4C58-9CA6-9622788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827F8E"/>
    <w:rPr>
      <w:sz w:val="16"/>
      <w:szCs w:val="16"/>
    </w:rPr>
  </w:style>
  <w:style w:type="paragraph" w:styleId="Textkomentra">
    <w:name w:val="annotation text"/>
    <w:basedOn w:val="Normlny"/>
    <w:link w:val="TextkomentraChar"/>
    <w:uiPriority w:val="99"/>
    <w:semiHidden/>
    <w:unhideWhenUsed/>
    <w:rsid w:val="00827F8E"/>
    <w:rPr>
      <w:sz w:val="20"/>
      <w:szCs w:val="20"/>
    </w:rPr>
  </w:style>
  <w:style w:type="character" w:customStyle="1" w:styleId="TextkomentraChar">
    <w:name w:val="Text komentára Char"/>
    <w:basedOn w:val="Predvolenpsmoodseku"/>
    <w:link w:val="Textkomentra"/>
    <w:uiPriority w:val="99"/>
    <w:semiHidden/>
    <w:rsid w:val="00827F8E"/>
    <w:rPr>
      <w:sz w:val="20"/>
      <w:szCs w:val="20"/>
    </w:rPr>
  </w:style>
  <w:style w:type="paragraph" w:styleId="Predmetkomentra">
    <w:name w:val="annotation subject"/>
    <w:basedOn w:val="Textkomentra"/>
    <w:next w:val="Textkomentra"/>
    <w:link w:val="PredmetkomentraChar"/>
    <w:uiPriority w:val="99"/>
    <w:semiHidden/>
    <w:unhideWhenUsed/>
    <w:rsid w:val="00827F8E"/>
    <w:rPr>
      <w:b/>
      <w:bCs/>
    </w:rPr>
  </w:style>
  <w:style w:type="character" w:customStyle="1" w:styleId="PredmetkomentraChar">
    <w:name w:val="Predmet komentára Char"/>
    <w:basedOn w:val="TextkomentraChar"/>
    <w:link w:val="Predmetkomentra"/>
    <w:uiPriority w:val="99"/>
    <w:semiHidden/>
    <w:rsid w:val="00827F8E"/>
    <w:rPr>
      <w:b/>
      <w:bCs/>
      <w:sz w:val="20"/>
      <w:szCs w:val="20"/>
    </w:rPr>
  </w:style>
  <w:style w:type="paragraph" w:styleId="Textbubliny">
    <w:name w:val="Balloon Text"/>
    <w:basedOn w:val="Normlny"/>
    <w:link w:val="TextbublinyChar"/>
    <w:uiPriority w:val="99"/>
    <w:semiHidden/>
    <w:unhideWhenUsed/>
    <w:rsid w:val="00827F8E"/>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7F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8194</Characters>
  <Application>Microsoft Office Word</Application>
  <DocSecurity>0</DocSecurity>
  <Lines>68</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AMBRUŠOVÁ Silvia</cp:lastModifiedBy>
  <cp:revision>2</cp:revision>
  <dcterms:created xsi:type="dcterms:W3CDTF">2025-05-30T08:30:00Z</dcterms:created>
  <dcterms:modified xsi:type="dcterms:W3CDTF">2025-05-30T08:30:00Z</dcterms:modified>
</cp:coreProperties>
</file>