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9A" w:rsidRPr="0072522E" w:rsidRDefault="004F409A" w:rsidP="004F409A">
      <w:pPr>
        <w:pStyle w:val="Default"/>
        <w:spacing w:line="276" w:lineRule="auto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72522E">
        <w:rPr>
          <w:rFonts w:asciiTheme="minorHAnsi" w:hAnsiTheme="minorHAnsi"/>
          <w:b/>
          <w:bCs/>
          <w:color w:val="auto"/>
          <w:sz w:val="32"/>
          <w:szCs w:val="32"/>
        </w:rPr>
        <w:t xml:space="preserve">Usmernenie k vyúčtovaniu, oprávnenosti a neoprávnenosti výdavkov a zúčtovaniu dotácií </w:t>
      </w:r>
    </w:p>
    <w:p w:rsidR="004F409A" w:rsidRDefault="004F409A" w:rsidP="004F409A">
      <w:pPr>
        <w:pStyle w:val="Default"/>
        <w:spacing w:line="276" w:lineRule="auto"/>
        <w:jc w:val="both"/>
        <w:rPr>
          <w:rFonts w:asciiTheme="minorHAnsi" w:hAnsiTheme="minorHAnsi"/>
          <w:b/>
          <w:bCs/>
        </w:rPr>
      </w:pPr>
    </w:p>
    <w:p w:rsidR="004F409A" w:rsidRPr="006C204F" w:rsidRDefault="004F409A" w:rsidP="009D451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6C204F">
        <w:rPr>
          <w:rFonts w:asciiTheme="minorHAnsi" w:hAnsiTheme="minorHAnsi"/>
          <w:bCs/>
          <w:sz w:val="22"/>
          <w:szCs w:val="22"/>
        </w:rPr>
        <w:t xml:space="preserve">Prijímateľ dotácie je </w:t>
      </w:r>
      <w:r w:rsidRPr="006C204F">
        <w:rPr>
          <w:rFonts w:asciiTheme="minorHAnsi" w:hAnsiTheme="minorHAnsi"/>
          <w:b/>
          <w:bCs/>
          <w:sz w:val="22"/>
          <w:szCs w:val="22"/>
        </w:rPr>
        <w:t>povinný použiť dotáciu</w:t>
      </w:r>
      <w:r w:rsidRPr="006C204F">
        <w:rPr>
          <w:rFonts w:asciiTheme="minorHAnsi" w:hAnsiTheme="minorHAnsi"/>
          <w:bCs/>
          <w:sz w:val="22"/>
          <w:szCs w:val="22"/>
        </w:rPr>
        <w:t xml:space="preserve"> a prostriedky spolufinancovania v zmysle § 19 ods. 1 a 3 zákona č. 523/2004 Z. z. o rozpočtových pravidlách verejnej správy a o zmene a doplnení niektorých zákonov v znení neskorších predpisov (ďalej len „zákon o rozpočtových pravidlách“) </w:t>
      </w:r>
      <w:r w:rsidRPr="006C204F">
        <w:rPr>
          <w:rFonts w:asciiTheme="minorHAnsi" w:hAnsiTheme="minorHAnsi"/>
          <w:b/>
          <w:bCs/>
          <w:sz w:val="22"/>
          <w:szCs w:val="22"/>
        </w:rPr>
        <w:t>výlučne na účel uvedený v schválenom projekte podľa schváleného</w:t>
      </w:r>
      <w:r w:rsidR="006C204F">
        <w:rPr>
          <w:rFonts w:asciiTheme="minorHAnsi" w:hAnsiTheme="minorHAnsi"/>
          <w:b/>
          <w:bCs/>
          <w:sz w:val="22"/>
          <w:szCs w:val="22"/>
        </w:rPr>
        <w:t xml:space="preserve"> štruktúrovaného</w:t>
      </w:r>
      <w:r w:rsidRPr="006C204F">
        <w:rPr>
          <w:rFonts w:asciiTheme="minorHAnsi" w:hAnsiTheme="minorHAnsi"/>
          <w:b/>
          <w:bCs/>
          <w:sz w:val="22"/>
          <w:szCs w:val="22"/>
        </w:rPr>
        <w:t xml:space="preserve"> rozpočtu</w:t>
      </w:r>
      <w:r w:rsidR="006C204F">
        <w:rPr>
          <w:rFonts w:asciiTheme="minorHAnsi" w:hAnsiTheme="minorHAnsi"/>
          <w:b/>
          <w:bCs/>
          <w:sz w:val="22"/>
          <w:szCs w:val="22"/>
        </w:rPr>
        <w:t xml:space="preserve"> s komentárom</w:t>
      </w:r>
      <w:r w:rsidRPr="006C204F">
        <w:rPr>
          <w:rFonts w:asciiTheme="minorHAnsi" w:hAnsiTheme="minorHAnsi"/>
          <w:bCs/>
          <w:sz w:val="22"/>
          <w:szCs w:val="22"/>
        </w:rPr>
        <w:t xml:space="preserve">. </w:t>
      </w:r>
    </w:p>
    <w:p w:rsidR="004F409A" w:rsidRDefault="004F409A" w:rsidP="004F409A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F409A" w:rsidRDefault="004F409A" w:rsidP="009D451D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C204F">
        <w:rPr>
          <w:rFonts w:asciiTheme="minorHAnsi" w:hAnsiTheme="minorHAnsi"/>
          <w:sz w:val="22"/>
          <w:szCs w:val="22"/>
        </w:rPr>
        <w:t xml:space="preserve">Pri použití finančných prostriedkov musí byť zabezpečená maximálna hospodárnosť, efektívnosť a účelnosť. Výdavky musia byť zdôvodnené, identifikovateľné, kontrolovateľné a dokladované faktúrami alebo inými účtovnými dokladmi, ktoré sú v súlade s platnými právnymi predpismi SR. Výdavky musia byť náležite zaznamenané v účtovnej evidencii prijímateľa dotácie. </w:t>
      </w:r>
    </w:p>
    <w:p w:rsidR="009D451D" w:rsidRDefault="009D451D" w:rsidP="009D451D">
      <w:pPr>
        <w:pStyle w:val="Odsekzoznamu"/>
      </w:pPr>
    </w:p>
    <w:p w:rsidR="009D451D" w:rsidRDefault="009D451D" w:rsidP="009D451D">
      <w:pPr>
        <w:numPr>
          <w:ilvl w:val="0"/>
          <w:numId w:val="15"/>
        </w:numPr>
        <w:spacing w:after="79" w:line="267" w:lineRule="auto"/>
        <w:ind w:right="40"/>
        <w:jc w:val="both"/>
      </w:pPr>
      <w:r>
        <w:rPr>
          <w:b/>
        </w:rPr>
        <w:t xml:space="preserve">Poskytnutú dotáciu je prijímateľ povinný použiť: </w:t>
      </w:r>
    </w:p>
    <w:p w:rsidR="009D451D" w:rsidRDefault="009D451D" w:rsidP="009D451D">
      <w:pPr>
        <w:numPr>
          <w:ilvl w:val="1"/>
          <w:numId w:val="20"/>
        </w:numPr>
        <w:spacing w:after="43" w:line="267" w:lineRule="auto"/>
        <w:ind w:right="41"/>
        <w:jc w:val="both"/>
      </w:pPr>
      <w:r>
        <w:rPr>
          <w:b/>
        </w:rPr>
        <w:t xml:space="preserve">do 31. decembra príslušného rozpočtového roka a vyúčtovať najneskôr do </w:t>
      </w:r>
      <w:r w:rsidR="00713E1E">
        <w:rPr>
          <w:b/>
        </w:rPr>
        <w:br/>
      </w:r>
      <w:r>
        <w:rPr>
          <w:b/>
        </w:rPr>
        <w:t xml:space="preserve">31. januára </w:t>
      </w:r>
      <w:r>
        <w:t xml:space="preserve">nasledujúceho kalendárneho roka, alebo </w:t>
      </w:r>
    </w:p>
    <w:p w:rsidR="009D451D" w:rsidRPr="005F2EFB" w:rsidRDefault="009D451D" w:rsidP="005F2EFB">
      <w:pPr>
        <w:numPr>
          <w:ilvl w:val="1"/>
          <w:numId w:val="20"/>
        </w:numPr>
        <w:spacing w:after="158" w:line="269" w:lineRule="auto"/>
        <w:ind w:right="41"/>
        <w:jc w:val="both"/>
      </w:pPr>
      <w:r>
        <w:rPr>
          <w:b/>
        </w:rPr>
        <w:t xml:space="preserve">do 31. marca nasledujúceho rozpočtového roka a vyúčtovať najneskôr do 10. apríla </w:t>
      </w:r>
      <w:r>
        <w:t>nasledujúceho kalendárneho roka za predpokladu, že finančné prostriedky boli poukázané na účet prijímateľa po 31. júli príslušného rozpočtového roka a tieto prostriedky nebolo možné použiť do konca rozpočtového roka v zmysle § 8 ods. 5 zákona o rozpočtových pravidlách (</w:t>
      </w:r>
      <w:r>
        <w:rPr>
          <w:b/>
        </w:rPr>
        <w:t>okrem osobných výdavkov</w:t>
      </w:r>
      <w:r>
        <w:t xml:space="preserve">, t. j. výdavkov na mzdy, platy, služobné príjmy a ostatné osobné vyrovnania a odmeny vyplácané na základe dohôd o prácach vykonávaných mimo pracovného pomeru, ktoré je, vrátane odvodov, potrebné použiť do konca kalendárneho roka). </w:t>
      </w:r>
    </w:p>
    <w:p w:rsidR="004F409A" w:rsidRDefault="004F409A" w:rsidP="0072522E">
      <w:pPr>
        <w:pStyle w:val="Default"/>
        <w:tabs>
          <w:tab w:val="left" w:pos="426"/>
        </w:tabs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4F409A" w:rsidRPr="00907177" w:rsidRDefault="004F409A" w:rsidP="004F409A">
      <w:pPr>
        <w:pStyle w:val="Default"/>
        <w:tabs>
          <w:tab w:val="left" w:pos="426"/>
        </w:tabs>
        <w:spacing w:line="276" w:lineRule="auto"/>
        <w:jc w:val="center"/>
        <w:rPr>
          <w:rFonts w:asciiTheme="minorHAnsi" w:hAnsiTheme="minorHAnsi"/>
          <w:b/>
          <w:color w:val="auto"/>
          <w:sz w:val="30"/>
          <w:szCs w:val="30"/>
        </w:rPr>
      </w:pPr>
      <w:r w:rsidRPr="00907177">
        <w:rPr>
          <w:rFonts w:asciiTheme="minorHAnsi" w:hAnsiTheme="minorHAnsi"/>
          <w:b/>
          <w:color w:val="auto"/>
          <w:sz w:val="30"/>
          <w:szCs w:val="30"/>
        </w:rPr>
        <w:t>Vyúčtovanie dotácie</w:t>
      </w:r>
    </w:p>
    <w:p w:rsidR="0072522E" w:rsidRDefault="0072522E" w:rsidP="004F409A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A34306" w:rsidRDefault="00A34306" w:rsidP="00A34306">
      <w:pPr>
        <w:pStyle w:val="Nadpis2"/>
        <w:ind w:left="703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Predkladanie vyúčtovania </w:t>
      </w:r>
    </w:p>
    <w:p w:rsidR="00A34306" w:rsidRDefault="00A34306" w:rsidP="00A34306">
      <w:pPr>
        <w:pStyle w:val="Odsekzoznamu"/>
        <w:numPr>
          <w:ilvl w:val="0"/>
          <w:numId w:val="23"/>
        </w:numPr>
        <w:spacing w:after="7"/>
        <w:ind w:right="42"/>
        <w:jc w:val="both"/>
      </w:pPr>
      <w:r>
        <w:t xml:space="preserve">Prijímateľ dotácie je povinný k vyúčtovaniu dotácie </w:t>
      </w:r>
      <w:r w:rsidRPr="009A5131">
        <w:rPr>
          <w:highlight w:val="lightGray"/>
        </w:rPr>
        <w:t xml:space="preserve">vyplniť formulár vyúčtovania v elektronickom dotačnom </w:t>
      </w:r>
      <w:r w:rsidR="0072522E" w:rsidRPr="009A5131">
        <w:rPr>
          <w:highlight w:val="lightGray"/>
        </w:rPr>
        <w:t>systéme E-Grant,</w:t>
      </w:r>
      <w:r w:rsidR="0072522E">
        <w:t xml:space="preserve"> po odoslaní ho vytlačiť, opatriť ho odtlačkom pečiatky a podpísať. </w:t>
      </w:r>
    </w:p>
    <w:p w:rsidR="00A34306" w:rsidRDefault="00A34306" w:rsidP="00A34306">
      <w:pPr>
        <w:pStyle w:val="Odsekzoznamu"/>
        <w:spacing w:after="7"/>
        <w:ind w:right="42"/>
        <w:jc w:val="both"/>
      </w:pPr>
    </w:p>
    <w:p w:rsidR="00A34306" w:rsidRDefault="0072522E" w:rsidP="00A34306">
      <w:pPr>
        <w:pStyle w:val="Odsekzoznamu"/>
        <w:spacing w:after="7"/>
        <w:ind w:right="42"/>
        <w:jc w:val="both"/>
        <w:rPr>
          <w:b/>
        </w:rPr>
      </w:pPr>
      <w:r>
        <w:t xml:space="preserve">Následne ho listinne spolu s kópiami účtovných dokladov predloží ministerstvu na adresu: </w:t>
      </w:r>
      <w:r w:rsidRPr="00A34306">
        <w:rPr>
          <w:b/>
        </w:rPr>
        <w:t xml:space="preserve">Ministerstvo spravodlivosti SR </w:t>
      </w:r>
    </w:p>
    <w:p w:rsidR="00A34306" w:rsidRDefault="0072522E" w:rsidP="00A34306">
      <w:pPr>
        <w:pStyle w:val="Odsekzoznamu"/>
        <w:spacing w:after="7"/>
        <w:ind w:right="42"/>
        <w:jc w:val="both"/>
        <w:rPr>
          <w:b/>
        </w:rPr>
      </w:pPr>
      <w:r w:rsidRPr="00A34306">
        <w:rPr>
          <w:b/>
        </w:rPr>
        <w:t xml:space="preserve">odbor ľudských práv </w:t>
      </w:r>
    </w:p>
    <w:p w:rsidR="0072522E" w:rsidRDefault="0072522E" w:rsidP="00A34306">
      <w:pPr>
        <w:pStyle w:val="Odsekzoznamu"/>
        <w:spacing w:after="7"/>
        <w:ind w:right="42"/>
        <w:jc w:val="both"/>
      </w:pPr>
      <w:r w:rsidRPr="00A34306">
        <w:rPr>
          <w:b/>
        </w:rPr>
        <w:t xml:space="preserve">Račianska 71 </w:t>
      </w:r>
    </w:p>
    <w:p w:rsidR="0072522E" w:rsidRDefault="0072522E" w:rsidP="00A34306">
      <w:pPr>
        <w:pStyle w:val="Odsekzoznamu"/>
        <w:spacing w:after="6" w:line="267" w:lineRule="auto"/>
        <w:ind w:right="40"/>
        <w:jc w:val="both"/>
      </w:pPr>
      <w:r w:rsidRPr="0072522E">
        <w:rPr>
          <w:b/>
        </w:rPr>
        <w:t xml:space="preserve">813 11 Bratislava </w:t>
      </w:r>
    </w:p>
    <w:p w:rsidR="0072522E" w:rsidRDefault="0072522E" w:rsidP="00A34306">
      <w:pPr>
        <w:pStyle w:val="Odsekzoznamu"/>
        <w:spacing w:after="131" w:line="267" w:lineRule="auto"/>
        <w:ind w:right="40"/>
        <w:jc w:val="both"/>
      </w:pPr>
      <w:r w:rsidRPr="0072522E">
        <w:rPr>
          <w:b/>
        </w:rPr>
        <w:t xml:space="preserve">Slovenská republika </w:t>
      </w:r>
    </w:p>
    <w:p w:rsidR="00A34306" w:rsidRDefault="00A34306" w:rsidP="00A34306">
      <w:pPr>
        <w:pStyle w:val="Odsekzoznamu"/>
        <w:spacing w:after="131"/>
        <w:ind w:right="42"/>
      </w:pPr>
    </w:p>
    <w:p w:rsidR="0072522E" w:rsidRDefault="0072522E" w:rsidP="00A34306">
      <w:pPr>
        <w:pStyle w:val="Odsekzoznamu"/>
        <w:spacing w:after="131"/>
        <w:ind w:right="42"/>
        <w:rPr>
          <w:b/>
        </w:rPr>
      </w:pPr>
      <w:r>
        <w:t xml:space="preserve">Obálku je potrebné viditeľne označiť slovami: </w:t>
      </w:r>
      <w:r w:rsidRPr="0072522E">
        <w:rPr>
          <w:b/>
        </w:rPr>
        <w:t>„</w:t>
      </w:r>
      <w:r w:rsidR="00A34306">
        <w:rPr>
          <w:b/>
        </w:rPr>
        <w:t>LP 2025</w:t>
      </w:r>
      <w:r w:rsidR="00A34306">
        <w:rPr>
          <w:b/>
        </w:rPr>
        <w:t xml:space="preserve"> – vyúčtovanie</w:t>
      </w:r>
      <w:r w:rsidRPr="0072522E">
        <w:rPr>
          <w:b/>
        </w:rPr>
        <w:t xml:space="preserve">“. </w:t>
      </w:r>
    </w:p>
    <w:p w:rsidR="00A34306" w:rsidRDefault="00A34306" w:rsidP="00A34306">
      <w:pPr>
        <w:pStyle w:val="Odsekzoznamu"/>
        <w:spacing w:after="131"/>
        <w:ind w:right="42"/>
        <w:rPr>
          <w:b/>
        </w:rPr>
      </w:pPr>
    </w:p>
    <w:p w:rsidR="00A34306" w:rsidRDefault="00A34306" w:rsidP="00A34306">
      <w:pPr>
        <w:pStyle w:val="Odsekzoznamu"/>
        <w:spacing w:after="131"/>
        <w:ind w:right="42"/>
        <w:rPr>
          <w:b/>
        </w:rPr>
      </w:pPr>
    </w:p>
    <w:p w:rsidR="00A34306" w:rsidRDefault="00A34306" w:rsidP="00A34306">
      <w:pPr>
        <w:numPr>
          <w:ilvl w:val="0"/>
          <w:numId w:val="24"/>
        </w:numPr>
        <w:spacing w:after="118" w:line="276" w:lineRule="auto"/>
        <w:ind w:right="42" w:hanging="286"/>
        <w:jc w:val="both"/>
      </w:pPr>
      <w:r>
        <w:t xml:space="preserve">Vyúčtovanie dotácie </w:t>
      </w:r>
      <w:r>
        <w:rPr>
          <w:b/>
        </w:rPr>
        <w:t xml:space="preserve">sa prekladá do 31. januára, prípadne 10. apríla nasledujúceho rozpočtového roka </w:t>
      </w:r>
      <w:r>
        <w:t xml:space="preserve">(ak finančné prostriedky boli poukázané na účet prijímateľa po 31. júli príslušného rozpočtového roka). </w:t>
      </w:r>
    </w:p>
    <w:p w:rsidR="00A34306" w:rsidRDefault="00A34306" w:rsidP="00A34306">
      <w:pPr>
        <w:numPr>
          <w:ilvl w:val="0"/>
          <w:numId w:val="24"/>
        </w:numPr>
        <w:spacing w:after="39" w:line="269" w:lineRule="auto"/>
        <w:ind w:right="42" w:hanging="286"/>
        <w:jc w:val="both"/>
      </w:pPr>
      <w:r w:rsidRPr="009A5131">
        <w:rPr>
          <w:highlight w:val="lightGray"/>
        </w:rPr>
        <w:t>Pre určenie dodržania termínu na predloženie vyúčtovania dotácie je rozhodujúci dátum odoslania:</w:t>
      </w:r>
      <w:r>
        <w:t xml:space="preserve"> </w:t>
      </w:r>
    </w:p>
    <w:p w:rsidR="009778C6" w:rsidRDefault="00A34306" w:rsidP="009778C6">
      <w:pPr>
        <w:numPr>
          <w:ilvl w:val="1"/>
          <w:numId w:val="25"/>
        </w:numPr>
        <w:spacing w:after="39" w:line="269" w:lineRule="auto"/>
        <w:ind w:right="42" w:hanging="283"/>
        <w:jc w:val="both"/>
      </w:pPr>
      <w:r>
        <w:t xml:space="preserve">žiadosť zasielaná poštou – rozhodujúci je údaj na poštovej pečiatke, ktorým môže byť najneskôr posledný deň na predloženie vyúčtovania, t. j. 31. január, prípadne 10. apríl; </w:t>
      </w:r>
    </w:p>
    <w:p w:rsidR="009778C6" w:rsidRPr="009778C6" w:rsidRDefault="00A34306" w:rsidP="009778C6">
      <w:pPr>
        <w:numPr>
          <w:ilvl w:val="1"/>
          <w:numId w:val="25"/>
        </w:numPr>
        <w:spacing w:after="39" w:line="269" w:lineRule="auto"/>
        <w:ind w:right="42" w:hanging="283"/>
        <w:jc w:val="both"/>
      </w:pPr>
      <w:r w:rsidRPr="009778C6">
        <w:t>žiadosť doručená osobne – do podateľne ministerstva, najneskôr v posledný deň určený na predloženie</w:t>
      </w:r>
      <w:r w:rsidR="009778C6" w:rsidRPr="009778C6">
        <w:t xml:space="preserve"> vyúčtovania.</w:t>
      </w:r>
    </w:p>
    <w:p w:rsidR="00A34306" w:rsidRDefault="00A34306" w:rsidP="009778C6">
      <w:pPr>
        <w:numPr>
          <w:ilvl w:val="0"/>
          <w:numId w:val="24"/>
        </w:numPr>
        <w:spacing w:after="118" w:line="276" w:lineRule="auto"/>
        <w:ind w:right="42" w:hanging="286"/>
        <w:jc w:val="both"/>
      </w:pPr>
      <w:r w:rsidRPr="009778C6">
        <w:t xml:space="preserve">V prípade, že prijímateľ dotácie nie je schopný dodržať stanovený termín vyúčtovania dotácie, </w:t>
      </w:r>
      <w:r w:rsidRPr="009778C6">
        <w:rPr>
          <w:b/>
        </w:rPr>
        <w:t>je povinný požiadať</w:t>
      </w:r>
      <w:r w:rsidRPr="00A34306">
        <w:t xml:space="preserve"> </w:t>
      </w:r>
      <w:r w:rsidRPr="009778C6">
        <w:rPr>
          <w:b/>
        </w:rPr>
        <w:t>ministerstvo o predĺženie termínu</w:t>
      </w:r>
      <w:r>
        <w:t xml:space="preserve">. Žiadosť musí byť ministerstvu zaslaná najneskôr </w:t>
      </w:r>
      <w:r w:rsidRPr="00A34306">
        <w:rPr>
          <w:b/>
        </w:rPr>
        <w:t>do 15 kalendárnych dní pred stanoveným termínom vyúčtovania</w:t>
      </w:r>
      <w:r>
        <w:t xml:space="preserve">. </w:t>
      </w:r>
      <w:r w:rsidRPr="00A34306">
        <w:rPr>
          <w:b/>
        </w:rPr>
        <w:t xml:space="preserve">Ministerstvo nie je povinné žiadosti vyhovieť. </w:t>
      </w:r>
      <w:r>
        <w:t xml:space="preserve">O predĺžení/nepredĺžení termínu na predloženie vyúčtovania dotácie je prijímateľ dotácie informovaný. </w:t>
      </w:r>
    </w:p>
    <w:p w:rsidR="006A64BC" w:rsidRDefault="006A64BC" w:rsidP="006A64BC">
      <w:pPr>
        <w:numPr>
          <w:ilvl w:val="0"/>
          <w:numId w:val="24"/>
        </w:numPr>
        <w:spacing w:line="269" w:lineRule="auto"/>
        <w:ind w:right="42" w:hanging="286"/>
        <w:jc w:val="both"/>
      </w:pPr>
      <w:r>
        <w:t xml:space="preserve">Ak prijímateľ dotácie nepredloží v stanovenom termíne vyúčtovanie dotácie, alebo neodstráni nedostatky vyúčtovania dotácie v lehote uvedenom v návrhu správy z administratívnej finančnej kontroly, je povinný dotáciu v plnom rozsahu vrátiť. </w:t>
      </w:r>
    </w:p>
    <w:p w:rsidR="006A64BC" w:rsidRPr="006A64BC" w:rsidRDefault="006A64BC" w:rsidP="006A64BC">
      <w:pPr>
        <w:numPr>
          <w:ilvl w:val="0"/>
          <w:numId w:val="24"/>
        </w:numPr>
        <w:spacing w:line="269" w:lineRule="auto"/>
        <w:ind w:right="42" w:hanging="286"/>
        <w:jc w:val="both"/>
      </w:pPr>
      <w:r w:rsidRPr="006A64BC">
        <w:t>Formulár vyúčtovania obsahuje tieto časti:</w:t>
      </w:r>
    </w:p>
    <w:p w:rsidR="006A64BC" w:rsidRDefault="006A64BC" w:rsidP="006A64BC">
      <w:pPr>
        <w:pStyle w:val="Default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vecné vyhodnotenie projektu vo forme záverečnej správy,</w:t>
      </w:r>
    </w:p>
    <w:p w:rsidR="006A64BC" w:rsidRDefault="006A64BC" w:rsidP="006A64BC">
      <w:pPr>
        <w:pStyle w:val="Default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finančné vyúčtovanie dotácie a finančné vyúčtovanie spolufinancovania projektu spolu s čestným vyhlásením,</w:t>
      </w:r>
    </w:p>
    <w:p w:rsidR="006A64BC" w:rsidRDefault="006A64BC" w:rsidP="006A64BC">
      <w:pPr>
        <w:pStyle w:val="Default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galéria – časť vyúčtovania, kde elektronicky prikladáte napr. obrazovú dokumentáciu, fotografie, pdf formát letákov, skeny prezenčných listín (všetky prezenčné listiny ako 1 sken/súbor) a pod. </w:t>
      </w:r>
    </w:p>
    <w:p w:rsidR="0013052E" w:rsidRDefault="0013052E" w:rsidP="0013052E">
      <w:pPr>
        <w:pStyle w:val="Default"/>
        <w:tabs>
          <w:tab w:val="left" w:pos="426"/>
        </w:tabs>
        <w:spacing w:line="276" w:lineRule="auto"/>
        <w:ind w:left="122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3052E" w:rsidRDefault="0013052E" w:rsidP="0013052E">
      <w:pPr>
        <w:numPr>
          <w:ilvl w:val="0"/>
          <w:numId w:val="24"/>
        </w:numPr>
        <w:spacing w:after="43" w:line="267" w:lineRule="auto"/>
        <w:ind w:right="42" w:hanging="286"/>
        <w:jc w:val="both"/>
      </w:pPr>
      <w:r>
        <w:rPr>
          <w:b/>
        </w:rPr>
        <w:t xml:space="preserve">Vecné vyhodnotenie projektu vo forme záverečnej správy </w:t>
      </w:r>
      <w:r>
        <w:t xml:space="preserve">obsahuje: </w:t>
      </w:r>
    </w:p>
    <w:p w:rsidR="0013052E" w:rsidRDefault="0013052E" w:rsidP="0013052E">
      <w:pPr>
        <w:numPr>
          <w:ilvl w:val="1"/>
          <w:numId w:val="24"/>
        </w:numPr>
        <w:spacing w:after="39" w:line="269" w:lineRule="auto"/>
        <w:ind w:right="42" w:hanging="362"/>
        <w:jc w:val="both"/>
      </w:pPr>
      <w:r>
        <w:t xml:space="preserve">správu s podrobným hodnotením naplnenia cieľa, zhodnotením významu, prínosu a zámeru projektu a informácia o miere zapojenia cieľovej skupiny, </w:t>
      </w:r>
    </w:p>
    <w:p w:rsidR="0013052E" w:rsidRDefault="0013052E" w:rsidP="0013052E">
      <w:pPr>
        <w:numPr>
          <w:ilvl w:val="1"/>
          <w:numId w:val="24"/>
        </w:numPr>
        <w:spacing w:after="39" w:line="269" w:lineRule="auto"/>
        <w:ind w:right="42" w:hanging="362"/>
        <w:jc w:val="both"/>
      </w:pPr>
      <w:r>
        <w:t>informáciu o</w:t>
      </w:r>
      <w:r w:rsidR="00AE52D6">
        <w:t> zrealizovaní všetkých plánovaných aktivít v rámci projektu, príp. zmeny oproti pôvodnému plánu realizácie projektu,</w:t>
      </w:r>
    </w:p>
    <w:p w:rsidR="00AE52D6" w:rsidRDefault="00AE52D6" w:rsidP="0013052E">
      <w:pPr>
        <w:numPr>
          <w:ilvl w:val="1"/>
          <w:numId w:val="24"/>
        </w:numPr>
        <w:spacing w:after="39" w:line="269" w:lineRule="auto"/>
        <w:ind w:right="42" w:hanging="362"/>
        <w:jc w:val="both"/>
      </w:pPr>
      <w:r>
        <w:t>informáciu o počte účastníkov podieľajúcich sa na projekte, výsledky z vyhodnocovania aktivít,</w:t>
      </w:r>
    </w:p>
    <w:p w:rsidR="0013052E" w:rsidRDefault="0013052E" w:rsidP="0013052E">
      <w:pPr>
        <w:numPr>
          <w:ilvl w:val="1"/>
          <w:numId w:val="24"/>
        </w:numPr>
        <w:spacing w:after="164" w:line="269" w:lineRule="auto"/>
        <w:ind w:right="42" w:hanging="362"/>
        <w:jc w:val="both"/>
      </w:pPr>
      <w:r>
        <w:t xml:space="preserve">iné informácie nevyhnutné pre posúdenie realizácie projektu. </w:t>
      </w:r>
    </w:p>
    <w:p w:rsidR="0013052E" w:rsidRDefault="0013052E" w:rsidP="0013052E">
      <w:pPr>
        <w:numPr>
          <w:ilvl w:val="0"/>
          <w:numId w:val="24"/>
        </w:numPr>
        <w:spacing w:after="39" w:line="269" w:lineRule="auto"/>
        <w:ind w:right="42" w:hanging="286"/>
        <w:jc w:val="both"/>
      </w:pPr>
      <w:r>
        <w:rPr>
          <w:b/>
        </w:rPr>
        <w:t>Finančné vyúčtovanie poskytnutej dotácie</w:t>
      </w:r>
      <w:r>
        <w:rPr>
          <w:b/>
        </w:rPr>
        <w:t>/spolufinancovanie dotácie</w:t>
      </w:r>
      <w:r>
        <w:rPr>
          <w:b/>
        </w:rPr>
        <w:t xml:space="preserve"> </w:t>
      </w:r>
      <w:r>
        <w:t>musí byť vypracované v súlade so zákonom o účtovníctve, s predložením písomného prehľadu a čitateľných fotokópií dokladov (vrátane fotokópií účtovných dokladov) preukazujúcich použitie dotácie.</w:t>
      </w:r>
      <w:r>
        <w:t xml:space="preserve"> </w:t>
      </w:r>
      <w:r w:rsidRPr="0013052E">
        <w:rPr>
          <w:b/>
        </w:rPr>
        <w:t>Záväzným podkladom</w:t>
      </w:r>
      <w:r w:rsidRPr="0013052E">
        <w:t xml:space="preserve"> vyúčtovania dotácie </w:t>
      </w:r>
      <w:r w:rsidRPr="0013052E">
        <w:rPr>
          <w:b/>
        </w:rPr>
        <w:t>je schválený rozpočet</w:t>
      </w:r>
      <w:r w:rsidRPr="0013052E">
        <w:t>, ktorý je prílohou zmluvy o poskytnutí dotácie.</w:t>
      </w:r>
      <w:r>
        <w:t xml:space="preserve"> Súčasťou vyúčtovania je: </w:t>
      </w:r>
    </w:p>
    <w:p w:rsidR="0013052E" w:rsidRDefault="0013052E" w:rsidP="0013052E">
      <w:pPr>
        <w:spacing w:after="39" w:line="269" w:lineRule="auto"/>
        <w:ind w:left="504" w:right="42"/>
        <w:jc w:val="both"/>
      </w:pPr>
      <w:r>
        <w:t>a)</w:t>
      </w:r>
      <w:r>
        <w:rPr>
          <w:rFonts w:ascii="Arial" w:eastAsia="Arial" w:hAnsi="Arial" w:cs="Arial"/>
        </w:rPr>
        <w:t xml:space="preserve"> </w:t>
      </w:r>
      <w:r>
        <w:t>celková rekapitulácia výdavkov projektu</w:t>
      </w:r>
      <w:r w:rsidR="007F583D">
        <w:t xml:space="preserve"> z</w:t>
      </w:r>
      <w:r w:rsidR="009A5131">
        <w:t> </w:t>
      </w:r>
      <w:r w:rsidR="007F583D">
        <w:t>dotácie</w:t>
      </w:r>
      <w:r w:rsidR="009A5131">
        <w:t>,</w:t>
      </w:r>
      <w:r>
        <w:t xml:space="preserve"> </w:t>
      </w:r>
    </w:p>
    <w:p w:rsidR="009A5131" w:rsidRDefault="0013052E" w:rsidP="0013052E">
      <w:pPr>
        <w:numPr>
          <w:ilvl w:val="1"/>
          <w:numId w:val="27"/>
        </w:numPr>
        <w:spacing w:after="39" w:line="269" w:lineRule="auto"/>
        <w:ind w:right="42" w:hanging="283"/>
        <w:jc w:val="both"/>
      </w:pPr>
      <w:r>
        <w:t>vyčíslenie výšky celkovej čerpanej sumy z poskytnutej dotácie</w:t>
      </w:r>
      <w:r w:rsidR="009A5131">
        <w:t>,</w:t>
      </w:r>
    </w:p>
    <w:p w:rsidR="0013052E" w:rsidRDefault="009A5131" w:rsidP="0013052E">
      <w:pPr>
        <w:numPr>
          <w:ilvl w:val="1"/>
          <w:numId w:val="27"/>
        </w:numPr>
        <w:spacing w:after="39" w:line="269" w:lineRule="auto"/>
        <w:ind w:right="42" w:hanging="283"/>
        <w:jc w:val="both"/>
      </w:pPr>
      <w:r>
        <w:t>vyčíslenie výšky vlastných zdrojov financovania projektu,</w:t>
      </w:r>
      <w:r w:rsidR="0013052E">
        <w:t xml:space="preserve"> </w:t>
      </w:r>
    </w:p>
    <w:p w:rsidR="0013052E" w:rsidRDefault="0013052E" w:rsidP="0013052E">
      <w:pPr>
        <w:numPr>
          <w:ilvl w:val="1"/>
          <w:numId w:val="27"/>
        </w:numPr>
        <w:spacing w:after="39" w:line="269" w:lineRule="auto"/>
        <w:ind w:right="42" w:hanging="283"/>
        <w:jc w:val="both"/>
      </w:pPr>
      <w:r>
        <w:lastRenderedPageBreak/>
        <w:t xml:space="preserve">písomné potvrdenie (resp. </w:t>
      </w:r>
      <w:r w:rsidR="007F583D">
        <w:t xml:space="preserve"> čestné </w:t>
      </w:r>
      <w:r>
        <w:t xml:space="preserve">vyhlásenie) štatutárneho zástupcu alebo príslušnej zodpovednej osoby prijímateľa o formálnej a vecnej správnosti vyúčtovania, </w:t>
      </w:r>
    </w:p>
    <w:p w:rsidR="0013052E" w:rsidRDefault="0013052E" w:rsidP="0013052E">
      <w:pPr>
        <w:numPr>
          <w:ilvl w:val="1"/>
          <w:numId w:val="27"/>
        </w:numPr>
        <w:spacing w:after="7" w:line="269" w:lineRule="auto"/>
        <w:ind w:right="42" w:hanging="283"/>
        <w:jc w:val="both"/>
      </w:pPr>
      <w:r>
        <w:t xml:space="preserve">uvedenie miesta, na ktorom sa nachádzajú originály dokladov súvisiace s poskytnutou dotáciou u prijímateľa. </w:t>
      </w:r>
    </w:p>
    <w:p w:rsidR="0013052E" w:rsidRDefault="0013052E" w:rsidP="0013052E">
      <w:pPr>
        <w:pStyle w:val="Default"/>
        <w:tabs>
          <w:tab w:val="left" w:pos="426"/>
        </w:tabs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3052E" w:rsidRDefault="0013052E" w:rsidP="009A5131">
      <w:pPr>
        <w:pStyle w:val="Default"/>
        <w:tabs>
          <w:tab w:val="left" w:pos="360"/>
        </w:tabs>
        <w:spacing w:line="276" w:lineRule="auto"/>
        <w:ind w:left="360"/>
        <w:jc w:val="both"/>
        <w:rPr>
          <w:rFonts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Prijímateľ predkladá finančné vyúčtovanie dotácie spolu s čestným vyhlásením</w:t>
      </w:r>
      <w:r w:rsidR="009A513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A5131" w:rsidRPr="009A5131">
        <w:rPr>
          <w:rFonts w:asciiTheme="minorHAnsi" w:hAnsiTheme="minorHAnsi"/>
          <w:color w:val="auto"/>
          <w:sz w:val="22"/>
          <w:szCs w:val="22"/>
          <w:highlight w:val="lightGray"/>
        </w:rPr>
        <w:t>(s vyškrtnutými vyjadreniami)</w:t>
      </w:r>
      <w:r>
        <w:rPr>
          <w:rFonts w:asciiTheme="minorHAnsi" w:hAnsiTheme="minorHAnsi"/>
          <w:color w:val="auto"/>
          <w:sz w:val="22"/>
          <w:szCs w:val="22"/>
        </w:rPr>
        <w:t xml:space="preserve"> a finančné vyúčtovanie spolufinancovania </w:t>
      </w:r>
      <w:r w:rsidRPr="007F583D">
        <w:rPr>
          <w:rFonts w:asciiTheme="minorHAnsi" w:hAnsiTheme="minorHAnsi"/>
          <w:color w:val="auto"/>
          <w:sz w:val="22"/>
          <w:szCs w:val="22"/>
        </w:rPr>
        <w:t xml:space="preserve">projektu </w:t>
      </w:r>
      <w:r w:rsidRPr="007F583D">
        <w:rPr>
          <w:rFonts w:asciiTheme="minorHAnsi" w:hAnsiTheme="minorHAnsi"/>
          <w:b/>
          <w:color w:val="auto"/>
          <w:sz w:val="22"/>
          <w:szCs w:val="22"/>
        </w:rPr>
        <w:t>ako dve samostatné časti vyúčtovania</w:t>
      </w:r>
      <w:r w:rsidRPr="007F583D">
        <w:rPr>
          <w:rFonts w:asciiTheme="minorHAnsi" w:hAnsiTheme="minorHAnsi"/>
          <w:color w:val="auto"/>
          <w:sz w:val="22"/>
          <w:szCs w:val="22"/>
        </w:rPr>
        <w:t xml:space="preserve">, pričom tieto dve samostatné časti </w:t>
      </w:r>
      <w:r w:rsidRPr="007F583D">
        <w:rPr>
          <w:rFonts w:asciiTheme="minorHAnsi" w:hAnsiTheme="minorHAnsi"/>
          <w:b/>
          <w:color w:val="auto"/>
          <w:sz w:val="22"/>
          <w:szCs w:val="22"/>
        </w:rPr>
        <w:t>nesmú byť pevne spojené</w:t>
      </w:r>
      <w:r w:rsidRPr="007F583D">
        <w:rPr>
          <w:rFonts w:asciiTheme="minorHAnsi" w:hAnsiTheme="minorHAnsi"/>
          <w:color w:val="auto"/>
          <w:sz w:val="22"/>
          <w:szCs w:val="22"/>
        </w:rPr>
        <w:t>.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13052E" w:rsidRDefault="0013052E" w:rsidP="0013052E">
      <w:pPr>
        <w:spacing w:after="7" w:line="269" w:lineRule="auto"/>
        <w:ind w:left="487" w:right="42"/>
        <w:jc w:val="both"/>
      </w:pPr>
    </w:p>
    <w:p w:rsidR="0013052E" w:rsidRDefault="0013052E" w:rsidP="009A5131">
      <w:pPr>
        <w:spacing w:after="7" w:line="269" w:lineRule="auto"/>
        <w:ind w:left="426" w:right="42"/>
        <w:jc w:val="both"/>
      </w:pPr>
      <w:r w:rsidRPr="008A2A78">
        <w:rPr>
          <w:b/>
        </w:rPr>
        <w:t>Prijímateľ dotácie môže vyúčtovať výdavky, maximálne do výšky poskytnutej dotácie (nie viac)</w:t>
      </w:r>
      <w:r>
        <w:t xml:space="preserve">. </w:t>
      </w:r>
      <w:r w:rsidR="009A5131">
        <w:t xml:space="preserve">  </w:t>
      </w:r>
      <w:r w:rsidR="00786329">
        <w:rPr>
          <w:highlight w:val="lightGray"/>
        </w:rPr>
        <w:t>Nepoužívať</w:t>
      </w:r>
      <w:r w:rsidRPr="009A5131">
        <w:rPr>
          <w:highlight w:val="lightGray"/>
        </w:rPr>
        <w:t xml:space="preserve"> euroobaly.</w:t>
      </w:r>
      <w:r>
        <w:t xml:space="preserve">  </w:t>
      </w:r>
    </w:p>
    <w:p w:rsidR="0013052E" w:rsidRDefault="0013052E" w:rsidP="0013052E">
      <w:pPr>
        <w:spacing w:after="70" w:line="259" w:lineRule="auto"/>
      </w:pPr>
    </w:p>
    <w:p w:rsidR="009A5131" w:rsidRDefault="009A5131" w:rsidP="009A5131">
      <w:pPr>
        <w:spacing w:after="70" w:line="259" w:lineRule="auto"/>
      </w:pPr>
    </w:p>
    <w:p w:rsidR="009A5131" w:rsidRDefault="009A5131" w:rsidP="009A5131">
      <w:pPr>
        <w:pStyle w:val="Nadpis2"/>
        <w:spacing w:after="139"/>
        <w:ind w:left="703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Oprávnené výdavky </w:t>
      </w:r>
    </w:p>
    <w:p w:rsidR="009A5131" w:rsidRPr="009A5131" w:rsidRDefault="009A5131" w:rsidP="009A5131">
      <w:pPr>
        <w:pStyle w:val="Nadpis3"/>
        <w:spacing w:after="121"/>
        <w:ind w:left="571"/>
        <w:rPr>
          <w:rFonts w:asciiTheme="minorHAnsi" w:hAnsiTheme="minorHAnsi" w:cstheme="minorHAnsi"/>
          <w:b/>
          <w:color w:val="auto"/>
        </w:rPr>
      </w:pPr>
      <w:r w:rsidRPr="009A5131">
        <w:rPr>
          <w:rFonts w:asciiTheme="minorHAnsi" w:hAnsiTheme="minorHAnsi" w:cstheme="minorHAnsi"/>
          <w:b/>
          <w:color w:val="auto"/>
        </w:rPr>
        <w:t>B.1</w:t>
      </w:r>
      <w:r w:rsidRPr="009A5131">
        <w:rPr>
          <w:rFonts w:asciiTheme="minorHAnsi" w:eastAsia="Arial" w:hAnsiTheme="minorHAnsi" w:cstheme="minorHAnsi"/>
          <w:b/>
          <w:color w:val="auto"/>
        </w:rPr>
        <w:t xml:space="preserve"> </w:t>
      </w:r>
      <w:r w:rsidRPr="009A5131">
        <w:rPr>
          <w:rFonts w:asciiTheme="minorHAnsi" w:hAnsiTheme="minorHAnsi" w:cstheme="minorHAnsi"/>
          <w:b/>
          <w:color w:val="auto"/>
        </w:rPr>
        <w:t xml:space="preserve">Osobné výdavky </w:t>
      </w:r>
    </w:p>
    <w:p w:rsidR="004F409A" w:rsidRDefault="004F409A" w:rsidP="004F409A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/>
          <w:color w:val="00B050"/>
          <w:sz w:val="22"/>
          <w:szCs w:val="22"/>
        </w:rPr>
      </w:pPr>
    </w:p>
    <w:p w:rsidR="004F409A" w:rsidRPr="00FB410B" w:rsidRDefault="00D424EC" w:rsidP="00CF3516">
      <w:pPr>
        <w:pStyle w:val="Default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FB410B">
        <w:rPr>
          <w:rFonts w:asciiTheme="minorHAnsi" w:hAnsiTheme="minorHAnsi" w:cstheme="minorHAnsi"/>
          <w:b/>
          <w:color w:val="auto"/>
          <w:sz w:val="22"/>
          <w:szCs w:val="22"/>
        </w:rPr>
        <w:t>Osobné výdavky – forma pracovnoprávneho vzťahu</w:t>
      </w:r>
      <w:r w:rsidRPr="00FB41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5F59" w:rsidRPr="00FB410B">
        <w:rPr>
          <w:rFonts w:asciiTheme="minorHAnsi" w:hAnsiTheme="minorHAnsi" w:cstheme="minorHAnsi"/>
          <w:b/>
          <w:color w:val="auto"/>
          <w:sz w:val="22"/>
          <w:szCs w:val="22"/>
        </w:rPr>
        <w:t xml:space="preserve">- </w:t>
      </w:r>
      <w:r w:rsidR="00795F59" w:rsidRPr="00FB410B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nie je možné ich vyplácať na faktúru!</w:t>
      </w:r>
      <w:r w:rsidR="00795F59" w:rsidRPr="00FB410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CF3516" w:rsidRPr="00FB410B" w:rsidRDefault="00FB410B" w:rsidP="00CF3516">
      <w:pPr>
        <w:pStyle w:val="Default"/>
        <w:tabs>
          <w:tab w:val="left" w:pos="426"/>
        </w:tabs>
        <w:spacing w:line="276" w:lineRule="auto"/>
        <w:ind w:left="720"/>
        <w:jc w:val="both"/>
        <w:rPr>
          <w:rFonts w:asciiTheme="minorHAnsi" w:hAnsiTheme="minorHAnsi" w:cstheme="minorHAnsi"/>
          <w:color w:val="auto"/>
          <w:sz w:val="22"/>
          <w:szCs w:val="22"/>
          <w:highlight w:val="lightGray"/>
        </w:rPr>
      </w:pPr>
      <w:r w:rsidRPr="00FB410B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 xml:space="preserve">Zmluvy o dielo, zmluvy o poskytnutí služby, mandátne a príkazné zmluvy patria do </w:t>
      </w:r>
      <w:r w:rsidR="00B5513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 xml:space="preserve">kategórie </w:t>
      </w:r>
      <w:r w:rsidRPr="00FB410B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„Tovarov a služieb“</w:t>
      </w:r>
    </w:p>
    <w:p w:rsidR="00FB410B" w:rsidRPr="00FB410B" w:rsidRDefault="00FB410B" w:rsidP="00CF3516">
      <w:pPr>
        <w:pStyle w:val="Default"/>
        <w:tabs>
          <w:tab w:val="left" w:pos="426"/>
        </w:tabs>
        <w:spacing w:line="276" w:lineRule="auto"/>
        <w:ind w:left="720"/>
        <w:jc w:val="both"/>
        <w:rPr>
          <w:rFonts w:asciiTheme="minorHAnsi" w:hAnsiTheme="minorHAnsi"/>
          <w:color w:val="auto"/>
          <w:sz w:val="22"/>
          <w:szCs w:val="22"/>
          <w:highlight w:val="lightGray"/>
        </w:rPr>
      </w:pPr>
    </w:p>
    <w:p w:rsidR="004F409A" w:rsidRPr="00CF3516" w:rsidRDefault="004F409A" w:rsidP="004F409A">
      <w:pPr>
        <w:pStyle w:val="Default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CF3516">
        <w:rPr>
          <w:rFonts w:asciiTheme="minorHAnsi" w:hAnsiTheme="minorHAnsi"/>
          <w:sz w:val="22"/>
          <w:szCs w:val="22"/>
        </w:rPr>
        <w:t xml:space="preserve">Pri dokladovaní osobných výdavkov prijímateľ dokladá existenciu </w:t>
      </w:r>
      <w:r w:rsidR="00CF3516" w:rsidRPr="00CF3516">
        <w:rPr>
          <w:rFonts w:asciiTheme="minorHAnsi" w:hAnsiTheme="minorHAnsi"/>
          <w:sz w:val="22"/>
          <w:szCs w:val="22"/>
        </w:rPr>
        <w:t>zmluvného</w:t>
      </w:r>
      <w:r w:rsidRPr="00CF3516">
        <w:rPr>
          <w:rFonts w:asciiTheme="minorHAnsi" w:hAnsiTheme="minorHAnsi"/>
          <w:sz w:val="22"/>
          <w:szCs w:val="22"/>
        </w:rPr>
        <w:t xml:space="preserve"> vzťahu medzi zamestnávateľom a zamestnancom </w:t>
      </w:r>
      <w:proofErr w:type="spellStart"/>
      <w:r w:rsidRPr="00CF3516">
        <w:rPr>
          <w:rFonts w:asciiTheme="minorHAnsi" w:hAnsiTheme="minorHAnsi"/>
          <w:sz w:val="22"/>
          <w:szCs w:val="22"/>
        </w:rPr>
        <w:t>t.j</w:t>
      </w:r>
      <w:proofErr w:type="spellEnd"/>
      <w:r w:rsidRPr="00CF3516">
        <w:rPr>
          <w:rFonts w:asciiTheme="minorHAnsi" w:hAnsiTheme="minorHAnsi"/>
          <w:sz w:val="22"/>
          <w:szCs w:val="22"/>
        </w:rPr>
        <w:t>. platnú zmluvu, podpísanú oboma stranami, s uvedením všetkých povinných náležitostí, napr. číslo účtu, názov/meno a priezvisko, sídlo, IČO a pod. Zmluva musí obsahovať konkretizáciu p</w:t>
      </w:r>
      <w:r w:rsidR="00D424EC" w:rsidRPr="00CF3516">
        <w:rPr>
          <w:rFonts w:asciiTheme="minorHAnsi" w:hAnsiTheme="minorHAnsi"/>
          <w:sz w:val="22"/>
          <w:szCs w:val="22"/>
        </w:rPr>
        <w:t>ráce súvisiacej s projektom,  rozsah</w:t>
      </w:r>
      <w:r w:rsidRPr="00CF3516">
        <w:rPr>
          <w:rFonts w:asciiTheme="minorHAnsi" w:hAnsiTheme="minorHAnsi"/>
          <w:sz w:val="22"/>
          <w:szCs w:val="22"/>
        </w:rPr>
        <w:t xml:space="preserve"> práce, </w:t>
      </w:r>
      <w:r w:rsidRPr="00CF3516">
        <w:rPr>
          <w:rFonts w:asciiTheme="minorHAnsi" w:hAnsiTheme="minorHAnsi"/>
          <w:color w:val="auto"/>
          <w:sz w:val="22"/>
          <w:szCs w:val="22"/>
        </w:rPr>
        <w:t>podmienky vyplácania mzdy aj s výškou mzdy, termín vyplácania mzdy, podmienky výkonu práce</w:t>
      </w:r>
      <w:r w:rsidR="00D424EC" w:rsidRPr="00CF3516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CF3516">
        <w:rPr>
          <w:rFonts w:asciiTheme="minorHAnsi" w:hAnsiTheme="minorHAnsi"/>
          <w:color w:val="auto"/>
          <w:sz w:val="22"/>
          <w:szCs w:val="22"/>
        </w:rPr>
        <w:t>(napr. podmienka doloženia výkazu práce</w:t>
      </w:r>
      <w:r w:rsidR="00CF3516">
        <w:rPr>
          <w:rFonts w:asciiTheme="minorHAnsi" w:hAnsiTheme="minorHAnsi"/>
          <w:color w:val="auto"/>
          <w:sz w:val="22"/>
          <w:szCs w:val="22"/>
        </w:rPr>
        <w:t xml:space="preserve">) </w:t>
      </w:r>
      <w:r w:rsidRPr="00CF3516">
        <w:rPr>
          <w:rFonts w:asciiTheme="minorHAnsi" w:hAnsiTheme="minorHAnsi"/>
          <w:color w:val="auto"/>
          <w:sz w:val="22"/>
          <w:szCs w:val="22"/>
        </w:rPr>
        <w:t>a pod.</w:t>
      </w:r>
    </w:p>
    <w:p w:rsidR="00CF3516" w:rsidRPr="00CF3516" w:rsidRDefault="00CF3516" w:rsidP="00CF3516">
      <w:pPr>
        <w:pStyle w:val="Default"/>
        <w:tabs>
          <w:tab w:val="left" w:pos="426"/>
        </w:tabs>
        <w:spacing w:line="276" w:lineRule="auto"/>
        <w:ind w:left="720"/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</w:p>
    <w:p w:rsidR="00CF3516" w:rsidRDefault="00CF3516" w:rsidP="00CF3516">
      <w:pPr>
        <w:numPr>
          <w:ilvl w:val="0"/>
          <w:numId w:val="28"/>
        </w:numPr>
        <w:spacing w:after="39" w:line="269" w:lineRule="auto"/>
        <w:ind w:right="42"/>
        <w:jc w:val="both"/>
      </w:pPr>
      <w:r>
        <w:t xml:space="preserve">Príklad účtovných dokladov preukazujúcich oprávnenosť osobných výdavkov: </w:t>
      </w:r>
    </w:p>
    <w:p w:rsidR="00CF3516" w:rsidRDefault="00CF3516" w:rsidP="00CF3516">
      <w:pPr>
        <w:numPr>
          <w:ilvl w:val="1"/>
          <w:numId w:val="28"/>
        </w:numPr>
        <w:spacing w:after="39" w:line="269" w:lineRule="auto"/>
        <w:ind w:right="42"/>
        <w:jc w:val="both"/>
      </w:pPr>
      <w:r w:rsidRPr="00795F59">
        <w:rPr>
          <w:b/>
        </w:rPr>
        <w:t>listina preukazujúca zmluvný vzťah</w:t>
      </w:r>
      <w:r>
        <w:t xml:space="preserve"> (</w:t>
      </w:r>
      <w:r w:rsidRPr="00907177">
        <w:rPr>
          <w:highlight w:val="lightGray"/>
        </w:rPr>
        <w:t>napr. pracovná zmluva, dohoda o vykonaní práce, dohoda o brigádnickej práci študentov,</w:t>
      </w:r>
      <w:r w:rsidRPr="00907177">
        <w:rPr>
          <w:highlight w:val="lightGray"/>
          <w:vertAlign w:val="superscript"/>
        </w:rPr>
        <w:footnoteReference w:id="1"/>
      </w:r>
      <w:r w:rsidRPr="00907177">
        <w:rPr>
          <w:highlight w:val="lightGray"/>
        </w:rPr>
        <w:t xml:space="preserve"> dohoda o pracovnej činnosti</w:t>
      </w:r>
      <w:r>
        <w:t xml:space="preserve">) </w:t>
      </w:r>
    </w:p>
    <w:p w:rsidR="00CF3516" w:rsidRDefault="00CF3516" w:rsidP="00CF3516">
      <w:pPr>
        <w:numPr>
          <w:ilvl w:val="1"/>
          <w:numId w:val="28"/>
        </w:numPr>
        <w:spacing w:after="39" w:line="269" w:lineRule="auto"/>
        <w:ind w:right="42"/>
        <w:jc w:val="both"/>
      </w:pPr>
      <w:r>
        <w:rPr>
          <w:b/>
        </w:rPr>
        <w:t>pracovný výkaz</w:t>
      </w:r>
      <w:r>
        <w:rPr>
          <w:b/>
        </w:rPr>
        <w:t xml:space="preserve"> </w:t>
      </w:r>
      <w:r>
        <w:t xml:space="preserve">– </w:t>
      </w:r>
      <w:r w:rsidRPr="00B55132">
        <w:rPr>
          <w:highlight w:val="lightGray"/>
        </w:rPr>
        <w:t>v prípade hodinovej</w:t>
      </w:r>
      <w:r w:rsidRPr="00B55132">
        <w:rPr>
          <w:highlight w:val="lightGray"/>
        </w:rPr>
        <w:t xml:space="preserve"> odmeny</w:t>
      </w:r>
      <w:r>
        <w:t>, ktorý obsahuje najmä:</w:t>
      </w:r>
    </w:p>
    <w:p w:rsidR="00CF3516" w:rsidRDefault="00CF3516" w:rsidP="00CF3516">
      <w:pPr>
        <w:pStyle w:val="Odsekzoznamu"/>
        <w:numPr>
          <w:ilvl w:val="0"/>
          <w:numId w:val="33"/>
        </w:numPr>
        <w:spacing w:after="39" w:line="269" w:lineRule="auto"/>
        <w:ind w:left="1701" w:right="42" w:hanging="283"/>
        <w:jc w:val="both"/>
      </w:pPr>
      <w:r>
        <w:t xml:space="preserve">identifikáciu/názov projektu, </w:t>
      </w:r>
    </w:p>
    <w:p w:rsidR="00CF3516" w:rsidRDefault="00CF3516" w:rsidP="00CF3516">
      <w:pPr>
        <w:pStyle w:val="Odsekzoznamu"/>
        <w:numPr>
          <w:ilvl w:val="0"/>
          <w:numId w:val="33"/>
        </w:numPr>
        <w:spacing w:after="0" w:line="259" w:lineRule="auto"/>
        <w:ind w:left="1701" w:hanging="283"/>
      </w:pPr>
      <w:r>
        <w:t xml:space="preserve">názov subjektu/zamestnávateľa, </w:t>
      </w:r>
    </w:p>
    <w:p w:rsidR="00CF3516" w:rsidRDefault="00CF3516" w:rsidP="00CF3516">
      <w:pPr>
        <w:pStyle w:val="Odsekzoznamu"/>
        <w:numPr>
          <w:ilvl w:val="0"/>
          <w:numId w:val="33"/>
        </w:numPr>
        <w:spacing w:after="39" w:line="269" w:lineRule="auto"/>
        <w:ind w:left="1701" w:right="42" w:hanging="283"/>
        <w:jc w:val="both"/>
      </w:pPr>
      <w:r>
        <w:t>jednoznačnú identifikáciu zamestnanca</w:t>
      </w:r>
      <w:r>
        <w:t xml:space="preserve"> </w:t>
      </w:r>
      <w:r>
        <w:t>(meno, priezvisko, trvalé bydlisko,</w:t>
      </w:r>
      <w:r>
        <w:t xml:space="preserve"> číslo účtu a pod.), vykonávanú pozíciu a </w:t>
      </w:r>
      <w:r>
        <w:t xml:space="preserve">časové vymedzenie (mesiac a rok, v ktorom bola činnosť realizovaná), </w:t>
      </w:r>
    </w:p>
    <w:p w:rsidR="00CF3516" w:rsidRDefault="00CF3516" w:rsidP="00CF3516">
      <w:pPr>
        <w:pStyle w:val="Odsekzoznamu"/>
        <w:numPr>
          <w:ilvl w:val="0"/>
          <w:numId w:val="33"/>
        </w:numPr>
        <w:spacing w:after="77" w:line="269" w:lineRule="auto"/>
        <w:ind w:left="1701" w:right="42" w:hanging="283"/>
        <w:jc w:val="both"/>
      </w:pPr>
      <w:r>
        <w:t xml:space="preserve">popis činností </w:t>
      </w:r>
    </w:p>
    <w:p w:rsidR="00CF3516" w:rsidRDefault="00CF3516" w:rsidP="00CF3516">
      <w:pPr>
        <w:pStyle w:val="Odsekzoznamu"/>
        <w:numPr>
          <w:ilvl w:val="0"/>
          <w:numId w:val="33"/>
        </w:numPr>
        <w:spacing w:after="39" w:line="269" w:lineRule="auto"/>
        <w:ind w:left="1701" w:right="42" w:hanging="283"/>
        <w:jc w:val="both"/>
      </w:pPr>
      <w:r>
        <w:t>podpis zamestnanca a štatutárneho orgánu alebo ním poverenej osoby, resp. oprávnenej osoby prijímateľa,</w:t>
      </w:r>
      <w:r w:rsidRPr="00CF3516">
        <w:rPr>
          <w:sz w:val="24"/>
        </w:rPr>
        <w:t xml:space="preserve"> </w:t>
      </w:r>
    </w:p>
    <w:p w:rsidR="00CF3516" w:rsidRDefault="00CF3516" w:rsidP="00CF3516">
      <w:pPr>
        <w:numPr>
          <w:ilvl w:val="1"/>
          <w:numId w:val="28"/>
        </w:numPr>
        <w:spacing w:after="39" w:line="269" w:lineRule="auto"/>
        <w:ind w:right="42"/>
        <w:jc w:val="both"/>
      </w:pPr>
      <w:r w:rsidRPr="00795F59">
        <w:rPr>
          <w:b/>
        </w:rPr>
        <w:lastRenderedPageBreak/>
        <w:t>mzdový list, resp. výplatná páska</w:t>
      </w:r>
      <w:r>
        <w:t xml:space="preserve"> (v prípade, ak sú sumy väčšie ako v dohodách, priložiť vyjadrenie o tom, že je </w:t>
      </w:r>
      <w:r w:rsidR="00795F59">
        <w:t>so zamestnancom</w:t>
      </w:r>
      <w:r>
        <w:t xml:space="preserve"> prípadne uzavretá aj iná dohoda, čo je dôvod vyššej vyplatenej sumy a výpočet oprávnenej výšky výdavku) </w:t>
      </w:r>
    </w:p>
    <w:p w:rsidR="00CF3516" w:rsidRDefault="00CF3516" w:rsidP="00CF3516">
      <w:pPr>
        <w:numPr>
          <w:ilvl w:val="1"/>
          <w:numId w:val="28"/>
        </w:numPr>
        <w:spacing w:after="39" w:line="269" w:lineRule="auto"/>
        <w:ind w:right="42"/>
        <w:jc w:val="both"/>
      </w:pPr>
      <w:r w:rsidRPr="00795F59">
        <w:rPr>
          <w:b/>
        </w:rPr>
        <w:t>výdavkový</w:t>
      </w:r>
      <w:r>
        <w:t xml:space="preserve"> </w:t>
      </w:r>
      <w:r w:rsidR="00795F59">
        <w:t xml:space="preserve">príp. príjmový </w:t>
      </w:r>
      <w:r w:rsidRPr="00795F59">
        <w:rPr>
          <w:b/>
        </w:rPr>
        <w:t>pokladničný doklad</w:t>
      </w:r>
      <w:r>
        <w:t xml:space="preserve"> pri hotovostnej platbe, </w:t>
      </w:r>
    </w:p>
    <w:p w:rsidR="00795F59" w:rsidRDefault="00CF3516" w:rsidP="00795F59">
      <w:pPr>
        <w:numPr>
          <w:ilvl w:val="1"/>
          <w:numId w:val="28"/>
        </w:numPr>
        <w:spacing w:after="39" w:line="269" w:lineRule="auto"/>
        <w:ind w:right="42"/>
        <w:jc w:val="both"/>
      </w:pPr>
      <w:r w:rsidRPr="00795F59">
        <w:rPr>
          <w:b/>
        </w:rPr>
        <w:t>výpis z bankového účtu</w:t>
      </w:r>
      <w:r>
        <w:t xml:space="preserve"> (pri bezhotovo</w:t>
      </w:r>
      <w:r w:rsidR="00795F59">
        <w:t>stnom prevode odmeny za prácu),</w:t>
      </w:r>
    </w:p>
    <w:p w:rsidR="00795F59" w:rsidRDefault="00795F59" w:rsidP="00795F59">
      <w:pPr>
        <w:numPr>
          <w:ilvl w:val="1"/>
          <w:numId w:val="28"/>
        </w:numPr>
        <w:spacing w:after="39" w:line="269" w:lineRule="auto"/>
        <w:ind w:right="42"/>
        <w:jc w:val="both"/>
      </w:pPr>
      <w:r>
        <w:t xml:space="preserve">pri vzdelávacích aktivitách (napr. prednáška, lektorovanie) je potrebné doložiť k osobným výdavkom </w:t>
      </w:r>
      <w:r w:rsidRPr="00795F59">
        <w:t>prezenčnú listinu</w:t>
      </w:r>
      <w:r>
        <w:t xml:space="preserve"> </w:t>
      </w:r>
      <w:r w:rsidRPr="00795F59">
        <w:t>a</w:t>
      </w:r>
      <w:r>
        <w:t> časový harmonogram uskutočnenia jednotlivých aktivít (napr. pred</w:t>
      </w:r>
      <w:r w:rsidR="00907177">
        <w:t>nášok, seminárov a pod.).</w:t>
      </w:r>
    </w:p>
    <w:p w:rsidR="004F409A" w:rsidRDefault="004F409A" w:rsidP="004F409A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F409A" w:rsidRPr="00D424EC" w:rsidRDefault="00940336" w:rsidP="004F409A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</w:t>
      </w:r>
      <w:r w:rsidR="004F409A" w:rsidRPr="00D424EC">
        <w:rPr>
          <w:rFonts w:asciiTheme="minorHAnsi" w:hAnsiTheme="minorHAnsi"/>
          <w:color w:val="auto"/>
          <w:sz w:val="22"/>
          <w:szCs w:val="22"/>
        </w:rPr>
        <w:t xml:space="preserve">Rozpočtovanie resp. vyúčtovávanie odvodov </w:t>
      </w:r>
      <w:r w:rsidR="004F409A" w:rsidRPr="00D424EC">
        <w:rPr>
          <w:rFonts w:asciiTheme="minorHAnsi" w:hAnsiTheme="minorHAnsi"/>
          <w:b/>
          <w:color w:val="auto"/>
          <w:sz w:val="22"/>
          <w:szCs w:val="22"/>
        </w:rPr>
        <w:t>musí byť</w:t>
      </w:r>
      <w:r w:rsidR="004F409A" w:rsidRPr="00D424EC">
        <w:rPr>
          <w:rFonts w:asciiTheme="minorHAnsi" w:hAnsiTheme="minorHAnsi"/>
          <w:color w:val="auto"/>
          <w:sz w:val="22"/>
          <w:szCs w:val="22"/>
        </w:rPr>
        <w:t xml:space="preserve"> súčasťou odmeny resp. platu.</w:t>
      </w:r>
    </w:p>
    <w:p w:rsidR="004F409A" w:rsidRPr="00D424EC" w:rsidRDefault="004F409A" w:rsidP="004F409A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D424E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D0C7F" w:rsidRDefault="006D0C7F" w:rsidP="006D0C7F">
      <w:pPr>
        <w:pStyle w:val="Nadpis3"/>
        <w:ind w:left="571"/>
        <w:rPr>
          <w:rFonts w:asciiTheme="minorHAnsi" w:hAnsiTheme="minorHAnsi" w:cstheme="minorHAnsi"/>
          <w:b/>
          <w:color w:val="auto"/>
        </w:rPr>
      </w:pPr>
      <w:r w:rsidRPr="00907177">
        <w:rPr>
          <w:rFonts w:asciiTheme="minorHAnsi" w:hAnsiTheme="minorHAnsi" w:cstheme="minorHAnsi"/>
          <w:b/>
          <w:color w:val="auto"/>
        </w:rPr>
        <w:t xml:space="preserve">B.2 Cestovné výdavky </w:t>
      </w:r>
    </w:p>
    <w:p w:rsidR="00907177" w:rsidRPr="00907177" w:rsidRDefault="00907177" w:rsidP="00907177"/>
    <w:p w:rsidR="006D0C7F" w:rsidRDefault="006D0C7F" w:rsidP="006D0C7F">
      <w:pPr>
        <w:numPr>
          <w:ilvl w:val="0"/>
          <w:numId w:val="34"/>
        </w:numPr>
        <w:spacing w:after="161" w:line="269" w:lineRule="auto"/>
        <w:ind w:right="42" w:hanging="286"/>
        <w:jc w:val="both"/>
      </w:pPr>
      <w:r w:rsidRPr="00907177">
        <w:rPr>
          <w:b/>
        </w:rPr>
        <w:t>Cestovné výdavky</w:t>
      </w:r>
      <w:r>
        <w:t xml:space="preserve"> sú výdavky v</w:t>
      </w:r>
      <w:r w:rsidR="00940336">
        <w:t xml:space="preserve"> zmysle </w:t>
      </w:r>
      <w:r>
        <w:t>zákona č. 283/2002 Z. z. o cestovných náhradách</w:t>
      </w:r>
      <w:r w:rsidR="00940336">
        <w:t xml:space="preserve"> v znení neskorších predpisov</w:t>
      </w:r>
      <w:r>
        <w:t xml:space="preserve">). </w:t>
      </w:r>
    </w:p>
    <w:p w:rsidR="006D0C7F" w:rsidRDefault="006D0C7F" w:rsidP="006D0C7F">
      <w:pPr>
        <w:numPr>
          <w:ilvl w:val="0"/>
          <w:numId w:val="34"/>
        </w:numPr>
        <w:spacing w:after="39" w:line="269" w:lineRule="auto"/>
        <w:ind w:right="42" w:hanging="286"/>
        <w:jc w:val="both"/>
      </w:pPr>
      <w:r>
        <w:t xml:space="preserve">V rámci cestovných náhrad (tuzemské alebo zahraničné pracovné cesty) je možné dokladovať nasledujúcim spôsobom: </w:t>
      </w:r>
    </w:p>
    <w:p w:rsidR="006D0C7F" w:rsidRDefault="006D0C7F" w:rsidP="006D0C7F">
      <w:pPr>
        <w:numPr>
          <w:ilvl w:val="1"/>
          <w:numId w:val="34"/>
        </w:numPr>
        <w:spacing w:after="39" w:line="269" w:lineRule="auto"/>
        <w:ind w:right="42" w:hanging="362"/>
        <w:jc w:val="both"/>
      </w:pPr>
      <w:r w:rsidRPr="00940336">
        <w:rPr>
          <w:b/>
        </w:rPr>
        <w:t>cestovný príkaz</w:t>
      </w:r>
      <w:r>
        <w:t xml:space="preserve"> – kompletne vyplnený a</w:t>
      </w:r>
      <w:r w:rsidR="00940336">
        <w:t> </w:t>
      </w:r>
      <w:r>
        <w:t>podpísaný</w:t>
      </w:r>
      <w:r w:rsidR="00940336">
        <w:t>,</w:t>
      </w:r>
      <w:r>
        <w:t xml:space="preserve"> </w:t>
      </w:r>
    </w:p>
    <w:p w:rsidR="00940336" w:rsidRDefault="006D0C7F" w:rsidP="006D0C7F">
      <w:pPr>
        <w:numPr>
          <w:ilvl w:val="1"/>
          <w:numId w:val="34"/>
        </w:numPr>
        <w:spacing w:after="39" w:line="269" w:lineRule="auto"/>
        <w:ind w:right="42" w:hanging="362"/>
        <w:jc w:val="both"/>
      </w:pPr>
      <w:r w:rsidRPr="00940336">
        <w:rPr>
          <w:b/>
        </w:rPr>
        <w:t>cestovný lístok</w:t>
      </w:r>
      <w:r>
        <w:t xml:space="preserve"> – vlak, autobus, letenka </w:t>
      </w:r>
      <w:r w:rsidR="00940336">
        <w:t>(</w:t>
      </w:r>
      <w:proofErr w:type="spellStart"/>
      <w:r w:rsidR="00940336">
        <w:t>boarding</w:t>
      </w:r>
      <w:proofErr w:type="spellEnd"/>
      <w:r w:rsidR="00940336">
        <w:t xml:space="preserve"> </w:t>
      </w:r>
      <w:proofErr w:type="spellStart"/>
      <w:r w:rsidR="00940336">
        <w:t>pass</w:t>
      </w:r>
      <w:proofErr w:type="spellEnd"/>
      <w:r w:rsidR="00940336">
        <w:t xml:space="preserve">) </w:t>
      </w:r>
      <w:r>
        <w:t xml:space="preserve">a pod., </w:t>
      </w:r>
    </w:p>
    <w:p w:rsidR="006D0C7F" w:rsidRDefault="006D0C7F" w:rsidP="006D0C7F">
      <w:pPr>
        <w:numPr>
          <w:ilvl w:val="1"/>
          <w:numId w:val="34"/>
        </w:numPr>
        <w:spacing w:after="39" w:line="269" w:lineRule="auto"/>
        <w:ind w:right="42" w:hanging="362"/>
        <w:jc w:val="both"/>
      </w:pPr>
      <w:r w:rsidRPr="00A26E52">
        <w:rPr>
          <w:b/>
        </w:rPr>
        <w:t>doklad o úhrade ubytovania</w:t>
      </w:r>
      <w:r w:rsidR="00A26E52">
        <w:t>,</w:t>
      </w:r>
    </w:p>
    <w:p w:rsidR="00A26E52" w:rsidRDefault="006D0C7F" w:rsidP="00A26E52">
      <w:pPr>
        <w:numPr>
          <w:ilvl w:val="1"/>
          <w:numId w:val="34"/>
        </w:numPr>
        <w:spacing w:after="39" w:line="269" w:lineRule="auto"/>
        <w:ind w:right="42" w:hanging="362"/>
        <w:jc w:val="both"/>
      </w:pPr>
      <w:r>
        <w:t xml:space="preserve">pri využití súkromného motorového vozidla pre služobné účely: faktúra alebo pokladničný blok ERP z nákupu pohonných hmôt (ďalej len „PHM“), kópia technického preukazu, spôsob výpočtu oprávnených výdavkov na pohonné hmoty, dohodu o použití súkromného motorového vozidla, doklad o zákonnom poistení motorového vozidla a doklad o jeho zaplatení na príslušný rok, príjmový a výdavkový pokladničný doklad pri hotovostnej platbe cestovného výdavku, resp. výpis z bankového účtu (pri bezhotovostnej platbe cestovného výdavku), </w:t>
      </w:r>
      <w:r w:rsidR="00A26E52">
        <w:t>doklad za parkovné,</w:t>
      </w:r>
    </w:p>
    <w:p w:rsidR="00A26E52" w:rsidRDefault="00A26E52" w:rsidP="00A26E52">
      <w:pPr>
        <w:numPr>
          <w:ilvl w:val="1"/>
          <w:numId w:val="34"/>
        </w:numPr>
        <w:spacing w:after="39" w:line="269" w:lineRule="auto"/>
        <w:ind w:right="42" w:hanging="362"/>
        <w:jc w:val="both"/>
      </w:pPr>
      <w:r w:rsidRPr="00A26E52">
        <w:t>žiadateľ môže nákup PHM uplatniť len v prípade, ak ide preukázateľne o hospodárnejšie a    efektívnejšie vynakladanie finančných prostriedkov ako doprava zabezpečovaná oficiálnymi dopravcami,</w:t>
      </w:r>
    </w:p>
    <w:p w:rsidR="006D0C7F" w:rsidRDefault="006D0C7F" w:rsidP="00940336">
      <w:pPr>
        <w:numPr>
          <w:ilvl w:val="1"/>
          <w:numId w:val="34"/>
        </w:numPr>
        <w:spacing w:after="10" w:line="269" w:lineRule="auto"/>
        <w:ind w:right="42" w:hanging="362"/>
        <w:jc w:val="both"/>
      </w:pPr>
      <w:r>
        <w:t xml:space="preserve">za cestovné výdavky sa považujú aj výdavky spojené s dopravou osôb na základe objednávky resp. zmluvy/faktúry. </w:t>
      </w:r>
    </w:p>
    <w:p w:rsidR="00A26E52" w:rsidRDefault="00A26E52" w:rsidP="00A26E52">
      <w:pPr>
        <w:spacing w:after="10" w:line="269" w:lineRule="auto"/>
        <w:ind w:left="849" w:right="42"/>
        <w:jc w:val="both"/>
      </w:pPr>
    </w:p>
    <w:p w:rsidR="00A26E52" w:rsidRPr="00A26E52" w:rsidRDefault="00A26E52" w:rsidP="00A26E52">
      <w:pPr>
        <w:pStyle w:val="Nadpis3"/>
        <w:ind w:left="571"/>
        <w:rPr>
          <w:rFonts w:asciiTheme="minorHAnsi" w:hAnsiTheme="minorHAnsi" w:cstheme="minorHAnsi"/>
          <w:b/>
          <w:color w:val="auto"/>
        </w:rPr>
      </w:pPr>
      <w:r w:rsidRPr="00A26E52">
        <w:rPr>
          <w:rFonts w:asciiTheme="minorHAnsi" w:hAnsiTheme="minorHAnsi" w:cstheme="minorHAnsi"/>
          <w:b/>
          <w:color w:val="auto"/>
        </w:rPr>
        <w:t>B.3</w:t>
      </w:r>
      <w:r w:rsidRPr="00A26E52">
        <w:rPr>
          <w:rFonts w:asciiTheme="minorHAnsi" w:eastAsia="Arial" w:hAnsiTheme="minorHAnsi" w:cstheme="minorHAnsi"/>
          <w:b/>
          <w:color w:val="auto"/>
        </w:rPr>
        <w:t xml:space="preserve"> </w:t>
      </w:r>
      <w:r w:rsidRPr="00A26E52">
        <w:rPr>
          <w:rFonts w:asciiTheme="minorHAnsi" w:hAnsiTheme="minorHAnsi" w:cstheme="minorHAnsi"/>
          <w:b/>
          <w:color w:val="auto"/>
        </w:rPr>
        <w:t xml:space="preserve">Výdavky na </w:t>
      </w:r>
      <w:r w:rsidR="00DA03DB">
        <w:rPr>
          <w:rFonts w:asciiTheme="minorHAnsi" w:hAnsiTheme="minorHAnsi" w:cstheme="minorHAnsi"/>
          <w:b/>
          <w:color w:val="auto"/>
        </w:rPr>
        <w:t>tovary a služby</w:t>
      </w:r>
      <w:r w:rsidRPr="00A26E52">
        <w:rPr>
          <w:rFonts w:asciiTheme="minorHAnsi" w:hAnsiTheme="minorHAnsi" w:cstheme="minorHAnsi"/>
          <w:b/>
          <w:color w:val="auto"/>
        </w:rPr>
        <w:t xml:space="preserve"> </w:t>
      </w:r>
    </w:p>
    <w:p w:rsidR="004F409A" w:rsidRDefault="004F409A" w:rsidP="004F409A">
      <w:pPr>
        <w:pStyle w:val="Default"/>
        <w:tabs>
          <w:tab w:val="left" w:pos="426"/>
        </w:tabs>
        <w:spacing w:line="276" w:lineRule="auto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55132" w:rsidRPr="00B55132" w:rsidRDefault="00FB410B" w:rsidP="009F7D0F">
      <w:pPr>
        <w:pStyle w:val="Odsekzoznamu"/>
        <w:numPr>
          <w:ilvl w:val="0"/>
          <w:numId w:val="35"/>
        </w:numPr>
        <w:spacing w:after="0" w:line="276" w:lineRule="auto"/>
        <w:jc w:val="both"/>
        <w:rPr>
          <w:b/>
          <w:u w:val="single"/>
        </w:rPr>
      </w:pPr>
      <w:r w:rsidRPr="009F7D0F">
        <w:rPr>
          <w:b/>
        </w:rPr>
        <w:t>Výdavky na tovary a</w:t>
      </w:r>
      <w:r w:rsidR="00713EB1" w:rsidRPr="009F7D0F">
        <w:rPr>
          <w:b/>
        </w:rPr>
        <w:t> </w:t>
      </w:r>
      <w:r w:rsidRPr="009F7D0F">
        <w:rPr>
          <w:b/>
        </w:rPr>
        <w:t>služby</w:t>
      </w:r>
      <w:r w:rsidR="00713EB1" w:rsidRPr="00713EB1">
        <w:t xml:space="preserve"> -</w:t>
      </w:r>
      <w:r w:rsidR="00713EB1" w:rsidRPr="009F7D0F">
        <w:rPr>
          <w:b/>
        </w:rPr>
        <w:t xml:space="preserve"> v</w:t>
      </w:r>
      <w:r w:rsidR="004F409A" w:rsidRPr="009F7D0F">
        <w:rPr>
          <w:b/>
        </w:rPr>
        <w:t xml:space="preserve">yplácané formou faktúry </w:t>
      </w:r>
      <w:r w:rsidR="004F409A" w:rsidRPr="00713EB1">
        <w:t>(prípadne podľa podmienok zmluvy, napr. v </w:t>
      </w:r>
      <w:r w:rsidR="004F409A" w:rsidRPr="00B55132">
        <w:rPr>
          <w:highlight w:val="lightGray"/>
        </w:rPr>
        <w:t>zmluve o</w:t>
      </w:r>
      <w:r w:rsidR="00713EB1" w:rsidRPr="00B55132">
        <w:rPr>
          <w:highlight w:val="lightGray"/>
        </w:rPr>
        <w:t> </w:t>
      </w:r>
      <w:r w:rsidR="004F409A" w:rsidRPr="00B55132">
        <w:rPr>
          <w:highlight w:val="lightGray"/>
        </w:rPr>
        <w:t>dielo</w:t>
      </w:r>
      <w:r w:rsidR="00713EB1" w:rsidRPr="00B55132">
        <w:rPr>
          <w:highlight w:val="lightGray"/>
        </w:rPr>
        <w:t>, príkaznej zmluvy, mandátnej zmluvy, zmluvy o poskytnutí služby</w:t>
      </w:r>
      <w:r w:rsidR="004F409A" w:rsidRPr="009F7D0F">
        <w:t xml:space="preserve">). </w:t>
      </w:r>
      <w:r w:rsidR="004F409A" w:rsidRPr="009F7D0F">
        <w:rPr>
          <w:b/>
        </w:rPr>
        <w:t xml:space="preserve">Podkladom </w:t>
      </w:r>
      <w:r w:rsidR="004F409A" w:rsidRPr="00713EB1">
        <w:t xml:space="preserve">na vyplatenie poskytnutej služby/tovaru </w:t>
      </w:r>
      <w:r w:rsidR="004F409A" w:rsidRPr="009F7D0F">
        <w:rPr>
          <w:b/>
        </w:rPr>
        <w:t xml:space="preserve">je objednávka resp. zmluva, </w:t>
      </w:r>
      <w:r w:rsidR="004F409A" w:rsidRPr="00713EB1">
        <w:t>ktorá upravuje poskytnutie predmetnej činnosti (zmluva o poskytnutí služby, zmluva o prenájme priestorov a iné) resp. tovaru.</w:t>
      </w:r>
    </w:p>
    <w:p w:rsidR="00B55132" w:rsidRDefault="00B55132" w:rsidP="00B55132">
      <w:pPr>
        <w:pStyle w:val="Odsekzoznamu"/>
        <w:spacing w:after="0" w:line="276" w:lineRule="auto"/>
        <w:jc w:val="both"/>
        <w:rPr>
          <w:b/>
        </w:rPr>
      </w:pPr>
    </w:p>
    <w:p w:rsidR="00B55132" w:rsidRDefault="00B55132" w:rsidP="00B55132">
      <w:pPr>
        <w:pStyle w:val="Odsekzoznamu"/>
        <w:spacing w:after="0" w:line="276" w:lineRule="auto"/>
        <w:jc w:val="both"/>
        <w:rPr>
          <w:b/>
        </w:rPr>
      </w:pPr>
    </w:p>
    <w:p w:rsidR="00B55132" w:rsidRPr="00B55132" w:rsidRDefault="00B55132" w:rsidP="00B55132">
      <w:pPr>
        <w:pStyle w:val="Odsekzoznamu"/>
        <w:spacing w:after="0" w:line="276" w:lineRule="auto"/>
        <w:jc w:val="both"/>
        <w:rPr>
          <w:b/>
          <w:u w:val="single"/>
        </w:rPr>
      </w:pPr>
    </w:p>
    <w:p w:rsidR="009F7D0F" w:rsidRPr="009F7D0F" w:rsidRDefault="009F7D0F" w:rsidP="009F7D0F">
      <w:pPr>
        <w:numPr>
          <w:ilvl w:val="0"/>
          <w:numId w:val="35"/>
        </w:numPr>
        <w:spacing w:after="39" w:line="269" w:lineRule="auto"/>
        <w:ind w:right="42"/>
        <w:jc w:val="both"/>
      </w:pPr>
      <w:r>
        <w:lastRenderedPageBreak/>
        <w:t>Medzi oprávnené výdavky n</w:t>
      </w:r>
      <w:r>
        <w:t>a služby a tovary patria najmä:</w:t>
      </w:r>
    </w:p>
    <w:p w:rsidR="004F409A" w:rsidRDefault="004F409A" w:rsidP="009F7D0F">
      <w:pPr>
        <w:pStyle w:val="Odsekzoznamu"/>
        <w:numPr>
          <w:ilvl w:val="0"/>
          <w:numId w:val="8"/>
        </w:numPr>
        <w:spacing w:after="0" w:line="276" w:lineRule="auto"/>
        <w:ind w:left="1418" w:hanging="425"/>
        <w:jc w:val="both"/>
      </w:pPr>
      <w:r>
        <w:t>výdavky za ubytovanie, stravu a občerstvenie organizátorov, hygienické zabezpečenie, realizátorov, účinkujúcich, účastníkov projektových aktivít a pod.,</w:t>
      </w:r>
    </w:p>
    <w:p w:rsidR="004F409A" w:rsidRDefault="004F409A" w:rsidP="009F7D0F">
      <w:pPr>
        <w:pStyle w:val="Odsekzoznamu"/>
        <w:numPr>
          <w:ilvl w:val="0"/>
          <w:numId w:val="8"/>
        </w:numPr>
        <w:spacing w:after="0" w:line="276" w:lineRule="auto"/>
        <w:ind w:left="1418" w:hanging="425"/>
        <w:jc w:val="both"/>
      </w:pPr>
      <w:r>
        <w:t xml:space="preserve">prenájom priestorov na realizáciu projektu, s výnimkou priestorov, v ktorých sídli </w:t>
      </w:r>
      <w:r w:rsidR="009F7D0F">
        <w:t>prijímateľ dotácie</w:t>
      </w:r>
      <w:r>
        <w:t>,</w:t>
      </w:r>
    </w:p>
    <w:p w:rsidR="004F409A" w:rsidRDefault="004F409A" w:rsidP="009F7D0F">
      <w:pPr>
        <w:pStyle w:val="Odsekzoznamu"/>
        <w:numPr>
          <w:ilvl w:val="0"/>
          <w:numId w:val="8"/>
        </w:numPr>
        <w:spacing w:after="0" w:line="276" w:lineRule="auto"/>
        <w:ind w:left="1418" w:hanging="425"/>
        <w:jc w:val="both"/>
      </w:pPr>
      <w:r>
        <w:rPr>
          <w:b/>
        </w:rPr>
        <w:t>externé služby súvisiace s realizáciou projektu</w:t>
      </w:r>
      <w:r w:rsidR="009F7D0F">
        <w:rPr>
          <w:b/>
        </w:rPr>
        <w:t>,</w:t>
      </w:r>
    </w:p>
    <w:p w:rsidR="004F409A" w:rsidRDefault="009F7D0F" w:rsidP="009F7D0F">
      <w:pPr>
        <w:pStyle w:val="Odsekzoznamu"/>
        <w:numPr>
          <w:ilvl w:val="0"/>
          <w:numId w:val="8"/>
        </w:numPr>
        <w:spacing w:after="0" w:line="276" w:lineRule="auto"/>
        <w:ind w:left="1418" w:hanging="425"/>
        <w:jc w:val="both"/>
      </w:pPr>
      <w:r>
        <w:t>výdavky na konferencie/kurzy,</w:t>
      </w:r>
    </w:p>
    <w:p w:rsidR="004F409A" w:rsidRDefault="004F409A" w:rsidP="009F7D0F">
      <w:pPr>
        <w:pStyle w:val="Odsekzoznamu"/>
        <w:numPr>
          <w:ilvl w:val="0"/>
          <w:numId w:val="8"/>
        </w:numPr>
        <w:spacing w:after="0" w:line="276" w:lineRule="auto"/>
        <w:ind w:left="1418" w:hanging="425"/>
        <w:jc w:val="both"/>
      </w:pPr>
      <w:r>
        <w:t>telekomunikačné výdavky previazané výlučne s účelom projektových aktivít,</w:t>
      </w:r>
    </w:p>
    <w:p w:rsidR="009F7D0F" w:rsidRDefault="004F409A" w:rsidP="009F7D0F">
      <w:pPr>
        <w:pStyle w:val="Odsekzoznamu"/>
        <w:numPr>
          <w:ilvl w:val="0"/>
          <w:numId w:val="37"/>
        </w:numPr>
        <w:spacing w:after="0" w:line="276" w:lineRule="auto"/>
        <w:ind w:firstLine="698"/>
        <w:jc w:val="both"/>
      </w:pPr>
      <w:r>
        <w:t>cena počítačovej zostavy s operačným systémom –  max. 300 € vrátane DPH,</w:t>
      </w:r>
    </w:p>
    <w:p w:rsidR="004F409A" w:rsidRDefault="004F409A" w:rsidP="009F7D0F">
      <w:pPr>
        <w:pStyle w:val="Odsekzoznamu"/>
        <w:numPr>
          <w:ilvl w:val="0"/>
          <w:numId w:val="37"/>
        </w:numPr>
        <w:spacing w:after="0" w:line="276" w:lineRule="auto"/>
        <w:ind w:firstLine="698"/>
        <w:jc w:val="both"/>
      </w:pPr>
      <w:r>
        <w:t>cena notebooku s operačným systémom – max. 250 € vrátane DPH,</w:t>
      </w:r>
    </w:p>
    <w:p w:rsidR="009F7D0F" w:rsidRDefault="004F409A" w:rsidP="009F7D0F">
      <w:pPr>
        <w:pStyle w:val="Odsekzoznamu"/>
        <w:numPr>
          <w:ilvl w:val="0"/>
          <w:numId w:val="37"/>
        </w:numPr>
        <w:ind w:firstLine="698"/>
      </w:pPr>
      <w:r>
        <w:t>cena dátového projektoru – max. 250 € vrátane DPH.</w:t>
      </w:r>
    </w:p>
    <w:p w:rsidR="009F7D0F" w:rsidRPr="009F7D0F" w:rsidRDefault="009F7D0F" w:rsidP="009F7D0F">
      <w:pPr>
        <w:pStyle w:val="Odsekzoznamu"/>
      </w:pPr>
    </w:p>
    <w:p w:rsidR="004F409A" w:rsidRPr="009F7D0F" w:rsidRDefault="004F409A" w:rsidP="009F7D0F">
      <w:pPr>
        <w:pStyle w:val="Odsekzoznamu"/>
        <w:numPr>
          <w:ilvl w:val="0"/>
          <w:numId w:val="35"/>
        </w:numPr>
      </w:pPr>
      <w:r w:rsidRPr="009F7D0F">
        <w:t>K nákupom a platbám za tovary a služby sa prikladajú tieto doklady:</w:t>
      </w:r>
    </w:p>
    <w:p w:rsidR="009F7D0F" w:rsidRDefault="009F7D0F" w:rsidP="009F7D0F">
      <w:pPr>
        <w:numPr>
          <w:ilvl w:val="1"/>
          <w:numId w:val="38"/>
        </w:numPr>
        <w:spacing w:after="39" w:line="269" w:lineRule="auto"/>
        <w:ind w:right="42"/>
        <w:jc w:val="both"/>
      </w:pPr>
      <w:r w:rsidRPr="009F7D0F">
        <w:rPr>
          <w:b/>
        </w:rPr>
        <w:t>blok z elektronickej registračnej pokladnice</w:t>
      </w:r>
      <w:r>
        <w:t xml:space="preserve">, </w:t>
      </w:r>
    </w:p>
    <w:p w:rsidR="009F7D0F" w:rsidRDefault="009F7D0F" w:rsidP="009F7D0F">
      <w:pPr>
        <w:numPr>
          <w:ilvl w:val="1"/>
          <w:numId w:val="38"/>
        </w:numPr>
        <w:spacing w:after="39" w:line="269" w:lineRule="auto"/>
        <w:ind w:right="42"/>
        <w:jc w:val="both"/>
      </w:pPr>
      <w:r w:rsidRPr="009F7D0F">
        <w:rPr>
          <w:b/>
        </w:rPr>
        <w:t>príjmový/výdavkový pokladničný doklad</w:t>
      </w:r>
      <w:r>
        <w:t xml:space="preserve"> – </w:t>
      </w:r>
      <w:r w:rsidRPr="009F7D0F">
        <w:rPr>
          <w:highlight w:val="lightGray"/>
        </w:rPr>
        <w:t>PLNE VYPLNENÝ</w:t>
      </w:r>
      <w:r w:rsidRPr="009F7D0F">
        <w:rPr>
          <w:b/>
          <w:highlight w:val="lightGray"/>
        </w:rPr>
        <w:t xml:space="preserve"> </w:t>
      </w:r>
      <w:r w:rsidRPr="009F7D0F">
        <w:rPr>
          <w:highlight w:val="lightGray"/>
        </w:rPr>
        <w:t>a podpísaný oboma stranami</w:t>
      </w:r>
      <w:r>
        <w:t xml:space="preserve"> </w:t>
      </w:r>
    </w:p>
    <w:p w:rsidR="009F7D0F" w:rsidRDefault="009F7D0F" w:rsidP="009F7D0F">
      <w:pPr>
        <w:numPr>
          <w:ilvl w:val="1"/>
          <w:numId w:val="38"/>
        </w:numPr>
        <w:spacing w:after="39" w:line="269" w:lineRule="auto"/>
        <w:ind w:right="42"/>
        <w:jc w:val="both"/>
      </w:pPr>
      <w:r w:rsidRPr="00C16A9E">
        <w:rPr>
          <w:b/>
        </w:rPr>
        <w:t>dokumenty vzťahujúce sa k verejnému obstarávaniu</w:t>
      </w:r>
      <w:r>
        <w:t xml:space="preserve"> (prieskum trhu, záznamy a pod.), </w:t>
      </w:r>
    </w:p>
    <w:p w:rsidR="009F7D0F" w:rsidRDefault="009F7D0F" w:rsidP="009F7D0F">
      <w:pPr>
        <w:numPr>
          <w:ilvl w:val="1"/>
          <w:numId w:val="38"/>
        </w:numPr>
        <w:spacing w:after="39" w:line="269" w:lineRule="auto"/>
        <w:ind w:right="42"/>
        <w:jc w:val="both"/>
      </w:pPr>
      <w:r>
        <w:rPr>
          <w:b/>
        </w:rPr>
        <w:t xml:space="preserve">zmluva o dodaní tovaru/služby alebo objednávka </w:t>
      </w:r>
      <w:r>
        <w:t xml:space="preserve">(príkazná/mandátna zmluva, zmluva o dielo; vrátane rozpisu podľa položiek), </w:t>
      </w:r>
    </w:p>
    <w:p w:rsidR="009F7D0F" w:rsidRDefault="009F7D0F" w:rsidP="009F7D0F">
      <w:pPr>
        <w:numPr>
          <w:ilvl w:val="1"/>
          <w:numId w:val="38"/>
        </w:numPr>
        <w:spacing w:after="39" w:line="269" w:lineRule="auto"/>
        <w:ind w:right="42"/>
        <w:jc w:val="both"/>
      </w:pPr>
      <w:r>
        <w:rPr>
          <w:b/>
        </w:rPr>
        <w:t>faktúra</w:t>
      </w:r>
      <w:r w:rsidRPr="00C16A9E">
        <w:rPr>
          <w:b/>
        </w:rPr>
        <w:t>, dodací list</w:t>
      </w:r>
      <w:r>
        <w:t xml:space="preserve"> – ak na faktúre nie je uvedené, že slúži zároveň ako dodací list (prevzatie tovaru musí byť podpísané objednávateľom), </w:t>
      </w:r>
    </w:p>
    <w:p w:rsidR="009F7D0F" w:rsidRDefault="009F7D0F" w:rsidP="009F7D0F">
      <w:pPr>
        <w:numPr>
          <w:ilvl w:val="1"/>
          <w:numId w:val="38"/>
        </w:numPr>
        <w:spacing w:after="39" w:line="269" w:lineRule="auto"/>
        <w:ind w:right="42"/>
        <w:jc w:val="both"/>
      </w:pPr>
      <w:r>
        <w:t xml:space="preserve">výpis z bankového účtu (pri bezhotovostnej platbe), </w:t>
      </w:r>
    </w:p>
    <w:p w:rsidR="009F7D0F" w:rsidRDefault="009F7D0F" w:rsidP="009F7D0F">
      <w:pPr>
        <w:numPr>
          <w:ilvl w:val="1"/>
          <w:numId w:val="38"/>
        </w:numPr>
        <w:spacing w:after="7" w:line="269" w:lineRule="auto"/>
        <w:ind w:right="42"/>
        <w:jc w:val="both"/>
      </w:pPr>
      <w:r>
        <w:t xml:space="preserve">výkaz práce o vykonanej činnosti za príslušné obdobie, protokol o odovzdaní a prevzatí prác (prevzatie vykonanej práce musí byť podpísané objednávateľom). </w:t>
      </w:r>
    </w:p>
    <w:p w:rsidR="004F409A" w:rsidRDefault="004F409A" w:rsidP="004F409A">
      <w:pPr>
        <w:spacing w:after="0" w:line="276" w:lineRule="auto"/>
        <w:ind w:left="709" w:hanging="284"/>
        <w:jc w:val="both"/>
      </w:pPr>
    </w:p>
    <w:p w:rsidR="00C16A9E" w:rsidRDefault="004F409A" w:rsidP="00C16A9E">
      <w:pPr>
        <w:pStyle w:val="Odsekzoznamu"/>
        <w:numPr>
          <w:ilvl w:val="0"/>
          <w:numId w:val="35"/>
        </w:numPr>
        <w:spacing w:after="0" w:line="276" w:lineRule="auto"/>
        <w:jc w:val="both"/>
      </w:pPr>
      <w:r>
        <w:t>Obstaranie hmotného majetku z bežných výdavkov je možné len v nevyhnutných prípadoch a je potrebné ho dostatočne odôvodniť v žiadosti o dotáciu, a to len v prípade, že prenájom predmetnej veci je nevýhodnejší ako jeho obstaranie. Konečný prijímateľ musí preukázať hospodárnosť, efektívnosť a účelnosť použitia finančných prostriedkov doložením aspoň jednej inej ponuky na rovnaký druh tovarov, prác alebo služieb, položky uvedené v upravenom štruktúrovanom rozpočte a v komentári k štruktúrovanému rozpočtu budú záväzné pri vyúčtovaní projektu.</w:t>
      </w:r>
    </w:p>
    <w:p w:rsidR="00C16A9E" w:rsidRDefault="00C16A9E" w:rsidP="00C16A9E">
      <w:pPr>
        <w:pStyle w:val="Odsekzoznamu"/>
        <w:spacing w:after="0" w:line="276" w:lineRule="auto"/>
        <w:jc w:val="both"/>
      </w:pPr>
    </w:p>
    <w:p w:rsidR="00C16A9E" w:rsidRDefault="004F409A" w:rsidP="00C16A9E">
      <w:pPr>
        <w:pStyle w:val="Odsekzoznamu"/>
        <w:numPr>
          <w:ilvl w:val="0"/>
          <w:numId w:val="35"/>
        </w:numPr>
        <w:spacing w:after="0" w:line="276" w:lineRule="auto"/>
        <w:jc w:val="both"/>
      </w:pPr>
      <w:r>
        <w:t>Kontrakty, ktoré neprinášajú žiadnu pridanú hodnotu, rovnako ako kontrakty prostredníctvom sprostredkovateľov alebo konzultantov, pri ktorých je hodnota, ktorá má byť zaplatená, vyjadrená v percentách zo spolufinancovanej sumy alebo schváleného rozpočtu, nie sú povolené. V zmluve s dodávateľom musí byť stanovená povinnosť, aby sa fakturované ceny zhodovali s cenami zadefinovanými v zmluve. Prijímateľ môže poskytovať preddavky v zmysle § 19 ods. 8 a 10 zákona č. 523/2004 Z. z. o rozpočtových pravidlách verejnej správy v znení neskorších predpisov.</w:t>
      </w:r>
    </w:p>
    <w:p w:rsidR="00C16A9E" w:rsidRPr="00C16A9E" w:rsidRDefault="00C16A9E" w:rsidP="00C16A9E">
      <w:pPr>
        <w:pStyle w:val="Odsekzoznamu"/>
        <w:rPr>
          <w:u w:val="single"/>
        </w:rPr>
      </w:pPr>
    </w:p>
    <w:p w:rsidR="004F409A" w:rsidRPr="00C16A9E" w:rsidRDefault="004F409A" w:rsidP="00C16A9E">
      <w:pPr>
        <w:pStyle w:val="Odsekzoznamu"/>
        <w:numPr>
          <w:ilvl w:val="0"/>
          <w:numId w:val="35"/>
        </w:numPr>
        <w:spacing w:after="0" w:line="276" w:lineRule="auto"/>
        <w:jc w:val="both"/>
      </w:pPr>
      <w:r w:rsidRPr="00C16A9E">
        <w:rPr>
          <w:b/>
        </w:rPr>
        <w:t xml:space="preserve">Uzatváranie zmlúv na externé služby, nájmy (s výnimkou nájmu nehnuteľností) alebo nákupy tovarov sa musia riadiť ustanoveniami zákona  č. 343/2015 z. z. o verejnom </w:t>
      </w:r>
      <w:r w:rsidRPr="00C16A9E">
        <w:rPr>
          <w:b/>
        </w:rPr>
        <w:lastRenderedPageBreak/>
        <w:t>obstarávaní a o zmene a doplnení niektorých zákonov v znení neskorších predpisov.</w:t>
      </w:r>
      <w:r w:rsidRPr="00C16A9E">
        <w:t xml:space="preserve"> Vyúčtovanie poskytnutej dotácie musí obsahovať všetky listinné dôkazy preukazujúce účel použitia dotácie a dokazujúce skutočnosti vzťahujúce sa na použitie dotácie.</w:t>
      </w:r>
    </w:p>
    <w:p w:rsidR="004F409A" w:rsidRDefault="004F409A" w:rsidP="004F409A">
      <w:pPr>
        <w:pStyle w:val="Odsekzoznamu"/>
        <w:spacing w:after="0" w:line="276" w:lineRule="auto"/>
        <w:ind w:left="0"/>
        <w:jc w:val="both"/>
        <w:rPr>
          <w:u w:val="single"/>
        </w:rPr>
      </w:pPr>
    </w:p>
    <w:p w:rsidR="00C16A9E" w:rsidRPr="00C16A9E" w:rsidRDefault="00C16A9E" w:rsidP="00C16A9E">
      <w:pPr>
        <w:pStyle w:val="Nadpis3"/>
        <w:ind w:left="571"/>
        <w:rPr>
          <w:rFonts w:asciiTheme="minorHAnsi" w:hAnsiTheme="minorHAnsi" w:cstheme="minorHAnsi"/>
          <w:b/>
          <w:color w:val="auto"/>
        </w:rPr>
      </w:pPr>
      <w:r w:rsidRPr="00C16A9E">
        <w:rPr>
          <w:rFonts w:asciiTheme="minorHAnsi" w:hAnsiTheme="minorHAnsi" w:cstheme="minorHAnsi"/>
          <w:b/>
          <w:color w:val="auto"/>
        </w:rPr>
        <w:t>B.4</w:t>
      </w:r>
      <w:r w:rsidRPr="00C16A9E">
        <w:rPr>
          <w:rFonts w:asciiTheme="minorHAnsi" w:eastAsia="Arial" w:hAnsiTheme="minorHAnsi" w:cstheme="minorHAnsi"/>
          <w:b/>
          <w:color w:val="auto"/>
        </w:rPr>
        <w:t xml:space="preserve"> </w:t>
      </w:r>
      <w:r w:rsidRPr="00C16A9E">
        <w:rPr>
          <w:rFonts w:asciiTheme="minorHAnsi" w:hAnsiTheme="minorHAnsi" w:cstheme="minorHAnsi"/>
          <w:b/>
          <w:color w:val="auto"/>
        </w:rPr>
        <w:t xml:space="preserve">Administratívne výdavky </w:t>
      </w:r>
    </w:p>
    <w:p w:rsidR="004F409A" w:rsidRDefault="004F409A" w:rsidP="00F955D7">
      <w:pPr>
        <w:spacing w:after="0" w:line="276" w:lineRule="auto"/>
        <w:jc w:val="both"/>
        <w:rPr>
          <w:u w:val="single"/>
        </w:rPr>
      </w:pPr>
    </w:p>
    <w:p w:rsidR="00F955D7" w:rsidRDefault="00AD513E" w:rsidP="00AD513E">
      <w:pPr>
        <w:ind w:left="567" w:right="42" w:hanging="341"/>
      </w:pPr>
      <w:r>
        <w:rPr>
          <w:rFonts w:ascii="Arial" w:eastAsia="Arial" w:hAnsi="Arial" w:cs="Arial"/>
        </w:rPr>
        <w:t xml:space="preserve"> </w:t>
      </w:r>
      <w:r w:rsidR="00F955D7">
        <w:t xml:space="preserve">Medzi oprávnené administratívne výdavky patria: </w:t>
      </w:r>
    </w:p>
    <w:p w:rsidR="004F409A" w:rsidRDefault="004F409A" w:rsidP="00AD513E">
      <w:pPr>
        <w:pStyle w:val="Odsekzoznamu"/>
        <w:numPr>
          <w:ilvl w:val="0"/>
          <w:numId w:val="10"/>
        </w:numPr>
        <w:spacing w:after="0" w:line="276" w:lineRule="auto"/>
        <w:ind w:left="357" w:hanging="73"/>
        <w:jc w:val="both"/>
      </w:pPr>
      <w:r>
        <w:t>výdavky na nákup kancelárskych a hygienických potrieb,</w:t>
      </w:r>
    </w:p>
    <w:p w:rsidR="004F409A" w:rsidRDefault="004F409A" w:rsidP="00AD513E">
      <w:pPr>
        <w:pStyle w:val="Odsekzoznamu"/>
        <w:numPr>
          <w:ilvl w:val="0"/>
          <w:numId w:val="10"/>
        </w:numPr>
        <w:spacing w:after="0" w:line="276" w:lineRule="auto"/>
        <w:ind w:left="357" w:hanging="73"/>
        <w:jc w:val="both"/>
      </w:pPr>
      <w:r>
        <w:t xml:space="preserve">výdavky na poštovné, kopírovanie a pod. </w:t>
      </w:r>
    </w:p>
    <w:p w:rsidR="004F409A" w:rsidRDefault="00F955D7" w:rsidP="00AD513E">
      <w:pPr>
        <w:pStyle w:val="Odsekzoznamu"/>
        <w:numPr>
          <w:ilvl w:val="0"/>
          <w:numId w:val="10"/>
        </w:numPr>
        <w:spacing w:after="0" w:line="276" w:lineRule="auto"/>
        <w:ind w:left="357" w:hanging="73"/>
        <w:jc w:val="both"/>
      </w:pPr>
      <w:r>
        <w:t>telekomunikačné výdavky previazané s účelom projektu (</w:t>
      </w:r>
      <w:r w:rsidR="004F409A">
        <w:t>telefón, internet, a pod.</w:t>
      </w:r>
      <w:r>
        <w:t>)</w:t>
      </w:r>
    </w:p>
    <w:p w:rsidR="004F409A" w:rsidRDefault="004F409A" w:rsidP="00AD513E">
      <w:pPr>
        <w:pStyle w:val="Odsekzoznamu"/>
        <w:numPr>
          <w:ilvl w:val="0"/>
          <w:numId w:val="10"/>
        </w:numPr>
        <w:spacing w:after="0" w:line="276" w:lineRule="auto"/>
        <w:ind w:left="357" w:hanging="73"/>
        <w:jc w:val="both"/>
      </w:pPr>
      <w:r>
        <w:t>ďalšie výdavky na administratívu</w:t>
      </w:r>
    </w:p>
    <w:p w:rsidR="004F409A" w:rsidRDefault="004F409A" w:rsidP="00AD513E">
      <w:pPr>
        <w:pStyle w:val="Odsekzoznamu"/>
        <w:spacing w:after="0" w:line="276" w:lineRule="auto"/>
        <w:ind w:left="357" w:hanging="73"/>
        <w:jc w:val="both"/>
      </w:pPr>
    </w:p>
    <w:p w:rsidR="00F955D7" w:rsidRPr="00F955D7" w:rsidRDefault="00F955D7" w:rsidP="00F955D7">
      <w:pPr>
        <w:pStyle w:val="Nadpis3"/>
        <w:ind w:left="571"/>
        <w:rPr>
          <w:rFonts w:asciiTheme="minorHAnsi" w:hAnsiTheme="minorHAnsi" w:cstheme="minorHAnsi"/>
          <w:b/>
          <w:color w:val="auto"/>
        </w:rPr>
      </w:pPr>
      <w:r w:rsidRPr="00F955D7">
        <w:rPr>
          <w:rFonts w:asciiTheme="minorHAnsi" w:hAnsiTheme="minorHAnsi" w:cstheme="minorHAnsi"/>
          <w:b/>
          <w:color w:val="auto"/>
        </w:rPr>
        <w:t xml:space="preserve">B.5 Iné oprávnené výdavky </w:t>
      </w:r>
    </w:p>
    <w:p w:rsidR="004F409A" w:rsidRDefault="004F409A" w:rsidP="004F409A">
      <w:pPr>
        <w:spacing w:after="0" w:line="276" w:lineRule="auto"/>
        <w:jc w:val="both"/>
      </w:pPr>
    </w:p>
    <w:p w:rsidR="004F409A" w:rsidRDefault="004F409A" w:rsidP="004F409A">
      <w:pPr>
        <w:pStyle w:val="Odsekzoznamu"/>
        <w:spacing w:after="0" w:line="276" w:lineRule="auto"/>
        <w:ind w:left="0"/>
        <w:jc w:val="both"/>
      </w:pPr>
      <w:r>
        <w:t xml:space="preserve">Ostatné výdavky, ktoré sú skutočne vynaložené a preukázateľné počas realizácie projektu vo forme nákladov alebo výdavkov za predpokladu, že sú nevyhnutné pre účely projektu. </w:t>
      </w:r>
    </w:p>
    <w:p w:rsidR="004F409A" w:rsidRPr="00387440" w:rsidRDefault="004F409A" w:rsidP="004F409A">
      <w:pPr>
        <w:pStyle w:val="Odsekzoznamu"/>
        <w:spacing w:after="0" w:line="276" w:lineRule="auto"/>
        <w:ind w:left="0" w:firstLine="357"/>
        <w:jc w:val="both"/>
      </w:pPr>
    </w:p>
    <w:p w:rsidR="00387440" w:rsidRDefault="004F409A" w:rsidP="004F409A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both"/>
        <w:rPr>
          <w:b/>
        </w:rPr>
      </w:pPr>
      <w:r w:rsidRPr="00387440">
        <w:rPr>
          <w:b/>
        </w:rPr>
        <w:t>Schválený štruktúrovaný rozpočet projektu je konečným ukazovateľom výšky financovania projektu.       V prípade, že skutočné výdavky presiahnu tie, ktoré boli zadefinované v schválenom rozpočte, tieto nebudú považované za oprávnené</w:t>
      </w:r>
      <w:r w:rsidR="00840FE5">
        <w:rPr>
          <w:b/>
        </w:rPr>
        <w:t xml:space="preserve">. </w:t>
      </w:r>
      <w:r w:rsidR="00840FE5" w:rsidRPr="008A2A78">
        <w:rPr>
          <w:b/>
        </w:rPr>
        <w:t>Prijímateľ dotácie môže vyúčtovať výdavky, maximálne do výšky poskytnutej dotácie (nie viac)</w:t>
      </w:r>
      <w:r w:rsidR="00840FE5">
        <w:t>.</w:t>
      </w:r>
    </w:p>
    <w:p w:rsidR="00387440" w:rsidRDefault="00387440" w:rsidP="004F409A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both"/>
        <w:rPr>
          <w:b/>
        </w:rPr>
      </w:pPr>
    </w:p>
    <w:p w:rsidR="004F409A" w:rsidRPr="00387440" w:rsidRDefault="007D544F" w:rsidP="004F409A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0"/>
        <w:jc w:val="both"/>
        <w:rPr>
          <w:b/>
        </w:rPr>
      </w:pPr>
      <w:r w:rsidRPr="00387440">
        <w:rPr>
          <w:b/>
        </w:rPr>
        <w:t>V rámci jedn</w:t>
      </w:r>
      <w:r w:rsidR="00ED255D" w:rsidRPr="00387440">
        <w:rPr>
          <w:b/>
        </w:rPr>
        <w:t>otlivých položiek/riadkov štruk</w:t>
      </w:r>
      <w:r w:rsidR="00387440" w:rsidRPr="00387440">
        <w:rPr>
          <w:b/>
        </w:rPr>
        <w:t>túrovaného rozpočtu projektu je prijímateľ oprávnený vykonať zmenu štruktúry výdavkov do výšky 15% pričom celková výška výdavkov štruktúrovaného rozpočtu musí byť zachovaná. V tomto prípade sa nevyžaduje dodatok k zmluve. Pre zamedzenie pochybností zmena štruktúry výdavkov vyššia ako 15% v rámci jednotlivých položiek štruktúrovaného rozpočtu projektu je možná len na základe písomného dodatku k zmluve.</w:t>
      </w:r>
    </w:p>
    <w:p w:rsidR="004F409A" w:rsidRDefault="004F409A" w:rsidP="004F409A">
      <w:pPr>
        <w:pStyle w:val="Odsekzoznamu"/>
        <w:spacing w:after="0" w:line="276" w:lineRule="auto"/>
        <w:ind w:left="0" w:firstLine="357"/>
        <w:jc w:val="both"/>
      </w:pPr>
    </w:p>
    <w:p w:rsidR="00387440" w:rsidRDefault="00387440" w:rsidP="004F409A">
      <w:pPr>
        <w:pStyle w:val="Odsekzoznamu"/>
        <w:spacing w:after="0" w:line="276" w:lineRule="auto"/>
        <w:ind w:left="0" w:firstLine="357"/>
        <w:jc w:val="both"/>
      </w:pPr>
    </w:p>
    <w:p w:rsidR="004F409A" w:rsidRPr="00387440" w:rsidRDefault="00387440" w:rsidP="00387440">
      <w:pPr>
        <w:pStyle w:val="Nadpis2"/>
        <w:spacing w:after="116"/>
        <w:ind w:left="703"/>
      </w:pPr>
      <w:r>
        <w:t>C.</w:t>
      </w:r>
      <w:r>
        <w:rPr>
          <w:rFonts w:ascii="Arial" w:eastAsia="Arial" w:hAnsi="Arial" w:cs="Arial"/>
        </w:rPr>
        <w:t xml:space="preserve"> </w:t>
      </w:r>
      <w:r>
        <w:t xml:space="preserve">Neoprávnené výdavky </w:t>
      </w:r>
    </w:p>
    <w:p w:rsidR="004F409A" w:rsidRDefault="004F409A" w:rsidP="004F409A">
      <w:pPr>
        <w:spacing w:after="0" w:line="276" w:lineRule="auto"/>
        <w:jc w:val="both"/>
      </w:pPr>
      <w:r>
        <w:t>Neoprávnenými výdavk</w:t>
      </w:r>
      <w:r w:rsidR="00840FE5">
        <w:t>ami sú spravidla výdavky, ktoré</w:t>
      </w:r>
      <w:r>
        <w:t xml:space="preserve"> neprispievajú k dosahovaniu cieľov projektu, nie sú pre jeho realizáciu nevyhnutné. Sú to najmä tieto výdavky:</w:t>
      </w:r>
    </w:p>
    <w:p w:rsidR="004F409A" w:rsidRDefault="004F409A" w:rsidP="004F409A">
      <w:pPr>
        <w:spacing w:after="0" w:line="276" w:lineRule="auto"/>
        <w:jc w:val="both"/>
        <w:rPr>
          <w:b/>
          <w:color w:val="00B050"/>
        </w:rPr>
      </w:pPr>
      <w:r>
        <w:rPr>
          <w:b/>
          <w:color w:val="00B050"/>
        </w:rPr>
        <w:tab/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úhrada záväzkov z predchádzajúcich rozpočtových rokov,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refundácia výdavkov uhradených v predchádzajúcich rozpočtových rokoch,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splácanie úverov, pôžičiek a úrokov z poskytnutých úverov a pôžičiek,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výdavky na bežnú prevádzku a správu prijímateľa,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výdavky, ktoré by vznikli aj v prípade neuskutočnenia projektu,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výdavky nezahrnuté do štruktúrovaného rozpočtu  projektu,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výdavky, ktoré nie sú doložené príslušnými účtovnými dokladmi,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výdavky, ktoré vzniknú tretím osobám a nie sú uhradené konečným prijímateľom,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pokuty a penále,</w:t>
      </w:r>
    </w:p>
    <w:p w:rsidR="00840FE5" w:rsidRDefault="004F409A" w:rsidP="00840FE5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lastRenderedPageBreak/>
        <w:t>výdavky vzniknuté</w:t>
      </w:r>
      <w:r w:rsidR="00387440">
        <w:t>/uhradené</w:t>
      </w:r>
      <w:r>
        <w:t xml:space="preserve"> mimo doby trvania projektu</w:t>
      </w:r>
      <w:r w:rsidR="006A658E">
        <w:t xml:space="preserve"> počas príslušného roka</w:t>
      </w:r>
      <w:r>
        <w:t>,</w:t>
      </w:r>
    </w:p>
    <w:p w:rsidR="004F409A" w:rsidRDefault="004F409A" w:rsidP="00840FE5">
      <w:pPr>
        <w:pStyle w:val="Odsekzoznamu"/>
        <w:numPr>
          <w:ilvl w:val="0"/>
          <w:numId w:val="11"/>
        </w:numPr>
        <w:spacing w:after="0" w:line="276" w:lineRule="auto"/>
        <w:jc w:val="both"/>
      </w:pPr>
      <w:bookmarkStart w:id="0" w:name="_GoBack"/>
      <w:bookmarkEnd w:id="0"/>
      <w:r>
        <w:t>výdavky nevzťahujúce sa na schválený projekt,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výdavky na úhradu dane z pridanej hodnoty platiteľovi dane z pridanej hodnoty, ak si môže uplatniť odpočítanie dane z pridanej hodnoty,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>výdavky, ktoré sú zo strany prijímateľa dotácie nedostatočne odôvodnené, alebo nepreukázané,</w:t>
      </w:r>
    </w:p>
    <w:p w:rsidR="004F409A" w:rsidRDefault="004F409A" w:rsidP="004F409A">
      <w:pPr>
        <w:pStyle w:val="Odsekzoznamu"/>
        <w:numPr>
          <w:ilvl w:val="0"/>
          <w:numId w:val="11"/>
        </w:numPr>
        <w:spacing w:after="0" w:line="276" w:lineRule="auto"/>
        <w:jc w:val="both"/>
      </w:pPr>
      <w:r>
        <w:t xml:space="preserve">výdavky deklarované v súvislosti s inými aktivitami alebo programami, na ktoré konečný prijímateľ poberá iný grant alebo príspevok zo štátneho rozpočtu Slovenskej republiky alebo Európskej únie.   </w:t>
      </w:r>
    </w:p>
    <w:p w:rsidR="004F409A" w:rsidRDefault="004F409A" w:rsidP="004F409A">
      <w:pPr>
        <w:pStyle w:val="Odsekzoznamu"/>
        <w:spacing w:line="276" w:lineRule="auto"/>
        <w:jc w:val="both"/>
      </w:pPr>
    </w:p>
    <w:p w:rsidR="004F409A" w:rsidRPr="006A658E" w:rsidRDefault="004F409A" w:rsidP="004F409A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/>
        <w:jc w:val="both"/>
        <w:rPr>
          <w:b/>
        </w:rPr>
      </w:pPr>
      <w:r w:rsidRPr="006A658E">
        <w:rPr>
          <w:b/>
        </w:rPr>
        <w:t xml:space="preserve">Vyúčtovanie výdavkov obsahuje aj doklady súvisiace s výdavkami v rámci spolufinancovania projektu. Spolufinancovanie formou nefinančného vkladu zo strany žiadateľa nie je prípustné.  </w:t>
      </w:r>
    </w:p>
    <w:p w:rsidR="006A658E" w:rsidRDefault="006A658E" w:rsidP="006A658E">
      <w:pPr>
        <w:pStyle w:val="Nadpis1"/>
        <w:ind w:left="164" w:right="5"/>
      </w:pPr>
    </w:p>
    <w:p w:rsidR="006A658E" w:rsidRPr="00715BF2" w:rsidRDefault="006A658E" w:rsidP="00715BF2">
      <w:pPr>
        <w:pStyle w:val="Default"/>
        <w:tabs>
          <w:tab w:val="left" w:pos="426"/>
        </w:tabs>
        <w:spacing w:line="276" w:lineRule="auto"/>
        <w:jc w:val="center"/>
        <w:rPr>
          <w:rFonts w:asciiTheme="minorHAnsi" w:hAnsiTheme="minorHAnsi"/>
          <w:b/>
          <w:color w:val="auto"/>
          <w:sz w:val="30"/>
          <w:szCs w:val="30"/>
        </w:rPr>
      </w:pPr>
      <w:r w:rsidRPr="00715BF2">
        <w:rPr>
          <w:rFonts w:asciiTheme="minorHAnsi" w:hAnsiTheme="minorHAnsi"/>
          <w:b/>
          <w:color w:val="auto"/>
          <w:sz w:val="30"/>
          <w:szCs w:val="30"/>
        </w:rPr>
        <w:t xml:space="preserve">Zúčtovanie dotácií </w:t>
      </w:r>
    </w:p>
    <w:p w:rsidR="004F409A" w:rsidRDefault="004F409A" w:rsidP="004F409A">
      <w:pPr>
        <w:pStyle w:val="Default"/>
        <w:tabs>
          <w:tab w:val="left" w:pos="426"/>
        </w:tabs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715BF2" w:rsidRDefault="00715BF2" w:rsidP="00715BF2">
      <w:pPr>
        <w:numPr>
          <w:ilvl w:val="0"/>
          <w:numId w:val="39"/>
        </w:numPr>
        <w:spacing w:after="161" w:line="269" w:lineRule="auto"/>
        <w:ind w:right="41" w:hanging="286"/>
        <w:jc w:val="both"/>
      </w:pPr>
      <w:r>
        <w:t xml:space="preserve">Použitie dotácií podlieha povinnému zúčtovaniu so štátnym rozpočtom. V prípade, ak prijímateľ dotácie predpokladá, že dotáciu alebo jej časť nevyužije, je povinný vrátiť tieto prostriedky do termínu, o ktorom rozhodne poskytovateľ dotácie. </w:t>
      </w:r>
    </w:p>
    <w:p w:rsidR="00715BF2" w:rsidRDefault="00715BF2" w:rsidP="00715BF2">
      <w:pPr>
        <w:numPr>
          <w:ilvl w:val="0"/>
          <w:numId w:val="39"/>
        </w:numPr>
        <w:spacing w:after="43" w:line="267" w:lineRule="auto"/>
        <w:ind w:right="41" w:hanging="286"/>
        <w:jc w:val="both"/>
      </w:pPr>
      <w:r>
        <w:rPr>
          <w:b/>
        </w:rPr>
        <w:t xml:space="preserve">Nevyčerpané prostriedky z dotácie je prijímateľ povinný vrátiť poskytovateľovi: </w:t>
      </w:r>
    </w:p>
    <w:p w:rsidR="00715BF2" w:rsidRDefault="00715BF2" w:rsidP="00715BF2">
      <w:pPr>
        <w:numPr>
          <w:ilvl w:val="1"/>
          <w:numId w:val="39"/>
        </w:numPr>
        <w:spacing w:after="12" w:line="269" w:lineRule="auto"/>
        <w:ind w:right="42" w:hanging="283"/>
        <w:jc w:val="both"/>
      </w:pPr>
      <w:r>
        <w:t xml:space="preserve">v priebehu rozpočtového roka, v ktorom bola dotácia poskytnutá, </w:t>
      </w:r>
      <w:r>
        <w:t xml:space="preserve">na výdavkový účet MS SR č. SK72 8180 </w:t>
      </w:r>
      <w:r>
        <w:t xml:space="preserve">0000 0070 0014 4241, </w:t>
      </w:r>
    </w:p>
    <w:p w:rsidR="00715BF2" w:rsidRDefault="00715BF2" w:rsidP="00715BF2">
      <w:pPr>
        <w:numPr>
          <w:ilvl w:val="1"/>
          <w:numId w:val="39"/>
        </w:numPr>
        <w:spacing w:after="156" w:line="269" w:lineRule="auto"/>
        <w:ind w:right="42" w:hanging="283"/>
        <w:jc w:val="both"/>
      </w:pPr>
      <w:r>
        <w:t xml:space="preserve">po skončení rozpočtového roka, </w:t>
      </w:r>
      <w:r w:rsidRPr="00715BF2">
        <w:rPr>
          <w:b/>
        </w:rPr>
        <w:t>súčasne s podaním vyúčtovania,</w:t>
      </w:r>
      <w:r>
        <w:rPr>
          <w:b/>
          <w:u w:val="single" w:color="000000"/>
        </w:rPr>
        <w:t xml:space="preserve"> </w:t>
      </w:r>
      <w:r>
        <w:t xml:space="preserve">na depozitný účet MS SR </w:t>
      </w:r>
      <w:r>
        <w:br/>
      </w:r>
      <w:r>
        <w:t xml:space="preserve">č. SK75 8180 0000 0070 0014 4284. </w:t>
      </w:r>
    </w:p>
    <w:p w:rsidR="00715BF2" w:rsidRDefault="00715BF2" w:rsidP="00715BF2">
      <w:pPr>
        <w:numPr>
          <w:ilvl w:val="0"/>
          <w:numId w:val="39"/>
        </w:numPr>
        <w:spacing w:after="43" w:line="267" w:lineRule="auto"/>
        <w:ind w:right="41" w:hanging="286"/>
        <w:jc w:val="both"/>
      </w:pPr>
      <w:r>
        <w:rPr>
          <w:b/>
        </w:rPr>
        <w:t xml:space="preserve">Výnosy z dotácie je prijímateľ povinný vrátiť poskytovateľovi: </w:t>
      </w:r>
    </w:p>
    <w:p w:rsidR="00715BF2" w:rsidRDefault="00715BF2" w:rsidP="00715BF2">
      <w:pPr>
        <w:numPr>
          <w:ilvl w:val="1"/>
          <w:numId w:val="39"/>
        </w:numPr>
        <w:spacing w:after="10" w:line="269" w:lineRule="auto"/>
        <w:ind w:right="42" w:hanging="283"/>
        <w:jc w:val="both"/>
      </w:pPr>
      <w:r>
        <w:t xml:space="preserve">v priebehu rozpočtového roka, v ktorom bola dotácia poskytnutá, na príjmový účet MS SR </w:t>
      </w:r>
      <w:r>
        <w:br/>
      </w:r>
      <w:r>
        <w:t xml:space="preserve">č. SK26 </w:t>
      </w:r>
      <w:r>
        <w:t xml:space="preserve">8180 </w:t>
      </w:r>
      <w:r>
        <w:t xml:space="preserve">0000 0070 0014 4487, </w:t>
      </w:r>
    </w:p>
    <w:p w:rsidR="00715BF2" w:rsidRDefault="00715BF2" w:rsidP="00715BF2">
      <w:pPr>
        <w:numPr>
          <w:ilvl w:val="1"/>
          <w:numId w:val="39"/>
        </w:numPr>
        <w:spacing w:after="39" w:line="269" w:lineRule="auto"/>
        <w:ind w:right="42" w:hanging="283"/>
        <w:jc w:val="both"/>
      </w:pPr>
      <w:r>
        <w:t xml:space="preserve">po skončení rozpočtového roka, </w:t>
      </w:r>
      <w:r w:rsidRPr="00715BF2">
        <w:rPr>
          <w:b/>
        </w:rPr>
        <w:t>súčasne s podaním vyúčtovania,</w:t>
      </w:r>
      <w:r>
        <w:rPr>
          <w:b/>
        </w:rPr>
        <w:t xml:space="preserve"> </w:t>
      </w:r>
      <w:r>
        <w:t xml:space="preserve">na depozitný účet MS SR </w:t>
      </w:r>
      <w:r>
        <w:br/>
      </w:r>
      <w:r>
        <w:t xml:space="preserve">č. SK75 8180 0000 0070 0014 4284. </w:t>
      </w:r>
    </w:p>
    <w:p w:rsidR="00715BF2" w:rsidRDefault="00715BF2" w:rsidP="00715BF2">
      <w:pPr>
        <w:spacing w:after="39" w:line="269" w:lineRule="auto"/>
        <w:ind w:left="770" w:right="42"/>
        <w:jc w:val="both"/>
      </w:pPr>
    </w:p>
    <w:p w:rsidR="00715BF2" w:rsidRDefault="00715BF2" w:rsidP="00715BF2">
      <w:pPr>
        <w:numPr>
          <w:ilvl w:val="0"/>
          <w:numId w:val="39"/>
        </w:numPr>
        <w:spacing w:after="7" w:line="269" w:lineRule="auto"/>
        <w:ind w:right="41" w:hanging="286"/>
        <w:jc w:val="both"/>
      </w:pPr>
      <w:r>
        <w:t>Prijímateľ je zároveň povinný zaslať elektronicky Ministerstvu spravodlivosti SR avízo o platbe, a to na emailovú adresu: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dotacie@justice.sk</w:t>
      </w:r>
      <w:r>
        <w:t xml:space="preserve"> </w:t>
      </w:r>
    </w:p>
    <w:p w:rsidR="00715BF2" w:rsidRDefault="00715BF2" w:rsidP="00715BF2">
      <w:pPr>
        <w:spacing w:after="0" w:line="259" w:lineRule="auto"/>
      </w:pPr>
      <w:r>
        <w:rPr>
          <w:sz w:val="20"/>
        </w:rPr>
        <w:t xml:space="preserve"> </w:t>
      </w:r>
    </w:p>
    <w:p w:rsidR="004F409A" w:rsidRDefault="004F409A" w:rsidP="004F409A">
      <w:pPr>
        <w:spacing w:line="276" w:lineRule="auto"/>
      </w:pPr>
    </w:p>
    <w:p w:rsidR="004F409A" w:rsidRDefault="004F409A" w:rsidP="004F409A">
      <w:pPr>
        <w:spacing w:line="276" w:lineRule="auto"/>
      </w:pPr>
    </w:p>
    <w:p w:rsidR="004F409A" w:rsidRPr="00715BF2" w:rsidRDefault="00715BF2" w:rsidP="004F409A">
      <w:pPr>
        <w:spacing w:line="276" w:lineRule="auto"/>
        <w:rPr>
          <w:b/>
        </w:rPr>
      </w:pPr>
      <w:r>
        <w:rPr>
          <w:b/>
        </w:rPr>
        <w:t>Štatutár</w:t>
      </w:r>
      <w:r w:rsidR="004F409A" w:rsidRPr="00715BF2">
        <w:rPr>
          <w:b/>
        </w:rPr>
        <w:t>:</w:t>
      </w:r>
    </w:p>
    <w:p w:rsidR="00715BF2" w:rsidRDefault="00715BF2" w:rsidP="004F409A">
      <w:pPr>
        <w:spacing w:line="276" w:lineRule="auto"/>
      </w:pPr>
      <w:r>
        <w:t>meno a priezvisk</w:t>
      </w:r>
      <w:r w:rsidR="004F409A">
        <w:t>o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podpis                                                              </w:t>
      </w:r>
    </w:p>
    <w:p w:rsidR="004F409A" w:rsidRDefault="004F409A" w:rsidP="004F409A">
      <w:pPr>
        <w:spacing w:line="276" w:lineRule="auto"/>
      </w:pPr>
      <w:r>
        <w:tab/>
      </w:r>
      <w:r w:rsidR="00715BF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..............................................................        </w:t>
      </w:r>
      <w:r w:rsidR="00715BF2">
        <w:t xml:space="preserve">                      </w:t>
      </w:r>
      <w:r>
        <w:t>.......................................................</w:t>
      </w:r>
    </w:p>
    <w:p w:rsidR="00CA770D" w:rsidRDefault="00CA770D"/>
    <w:sectPr w:rsidR="00CA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E6" w:rsidRDefault="00BA44E6" w:rsidP="00CF3516">
      <w:pPr>
        <w:spacing w:after="0" w:line="240" w:lineRule="auto"/>
      </w:pPr>
      <w:r>
        <w:separator/>
      </w:r>
    </w:p>
  </w:endnote>
  <w:endnote w:type="continuationSeparator" w:id="0">
    <w:p w:rsidR="00BA44E6" w:rsidRDefault="00BA44E6" w:rsidP="00CF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E6" w:rsidRDefault="00BA44E6" w:rsidP="00CF3516">
      <w:pPr>
        <w:spacing w:after="0" w:line="240" w:lineRule="auto"/>
      </w:pPr>
      <w:r>
        <w:separator/>
      </w:r>
    </w:p>
  </w:footnote>
  <w:footnote w:type="continuationSeparator" w:id="0">
    <w:p w:rsidR="00BA44E6" w:rsidRDefault="00BA44E6" w:rsidP="00CF3516">
      <w:pPr>
        <w:spacing w:after="0" w:line="240" w:lineRule="auto"/>
      </w:pPr>
      <w:r>
        <w:continuationSeparator/>
      </w:r>
    </w:p>
  </w:footnote>
  <w:footnote w:id="1">
    <w:p w:rsidR="00CF3516" w:rsidRDefault="00CF3516" w:rsidP="00CF3516">
      <w:pPr>
        <w:pStyle w:val="footnotedescription"/>
        <w:spacing w:line="242" w:lineRule="auto"/>
        <w:ind w:right="61"/>
      </w:pPr>
      <w:r>
        <w:rPr>
          <w:rStyle w:val="footnotemark"/>
        </w:rPr>
        <w:footnoteRef/>
      </w:r>
      <w:r>
        <w:t xml:space="preserve"> Neoddeliteľnou je súčasťou aj potvrdenie o štatúte študenta, oznámenie a čestné vyhlásenie k dohode o brigádnickej práci študentov na účely uplatnenia práva podľa § 227a zákona č. 461/2003 Z. z. o sociálnom poistení v znení zákona č. 413/2012 Z. 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F29"/>
    <w:multiLevelType w:val="hybridMultilevel"/>
    <w:tmpl w:val="41A02732"/>
    <w:lvl w:ilvl="0" w:tplc="00A2B0BE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ABA80">
      <w:start w:val="1"/>
      <w:numFmt w:val="lowerLetter"/>
      <w:lvlText w:val="%2)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497EC">
      <w:start w:val="1"/>
      <w:numFmt w:val="bullet"/>
      <w:lvlText w:val="-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A518E">
      <w:start w:val="1"/>
      <w:numFmt w:val="bullet"/>
      <w:lvlText w:val="•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87942">
      <w:start w:val="1"/>
      <w:numFmt w:val="bullet"/>
      <w:lvlText w:val="o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F6668E">
      <w:start w:val="1"/>
      <w:numFmt w:val="bullet"/>
      <w:lvlText w:val="▪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6C580">
      <w:start w:val="1"/>
      <w:numFmt w:val="bullet"/>
      <w:lvlText w:val="•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09C76">
      <w:start w:val="1"/>
      <w:numFmt w:val="bullet"/>
      <w:lvlText w:val="o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18F8AE">
      <w:start w:val="1"/>
      <w:numFmt w:val="bullet"/>
      <w:lvlText w:val="▪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B719F"/>
    <w:multiLevelType w:val="hybridMultilevel"/>
    <w:tmpl w:val="86ECA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30E9"/>
    <w:multiLevelType w:val="hybridMultilevel"/>
    <w:tmpl w:val="249CD6C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14DA"/>
    <w:multiLevelType w:val="hybridMultilevel"/>
    <w:tmpl w:val="36C0BBFA"/>
    <w:lvl w:ilvl="0" w:tplc="5058B358">
      <w:start w:val="82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21CEF"/>
    <w:multiLevelType w:val="hybridMultilevel"/>
    <w:tmpl w:val="45C4E646"/>
    <w:lvl w:ilvl="0" w:tplc="938A806C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4AFE8">
      <w:start w:val="1"/>
      <w:numFmt w:val="lowerLetter"/>
      <w:lvlText w:val="%2)"/>
      <w:lvlJc w:val="left"/>
      <w:pPr>
        <w:ind w:left="7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E102A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12087A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213E4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DAB808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E79D2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E9B26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1AA46C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D20631"/>
    <w:multiLevelType w:val="hybridMultilevel"/>
    <w:tmpl w:val="06C641F4"/>
    <w:lvl w:ilvl="0" w:tplc="0DDE49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40B75"/>
    <w:multiLevelType w:val="hybridMultilevel"/>
    <w:tmpl w:val="7DC8C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14AFE8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6C00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60FB6"/>
    <w:multiLevelType w:val="hybridMultilevel"/>
    <w:tmpl w:val="BB5E74EA"/>
    <w:lvl w:ilvl="0" w:tplc="CE2605E6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4D2A0">
      <w:start w:val="1"/>
      <w:numFmt w:val="lowerLetter"/>
      <w:lvlText w:val="%2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AE0800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C2F2E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0C63C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6C300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8CAB4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8FB6C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C9AAA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B736EE"/>
    <w:multiLevelType w:val="hybridMultilevel"/>
    <w:tmpl w:val="150CD104"/>
    <w:lvl w:ilvl="0" w:tplc="22080A14">
      <w:start w:val="2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08DB86">
      <w:start w:val="1"/>
      <w:numFmt w:val="lowerLetter"/>
      <w:lvlText w:val="%2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ECB72">
      <w:start w:val="1"/>
      <w:numFmt w:val="lowerRoman"/>
      <w:lvlText w:val="%3"/>
      <w:lvlJc w:val="left"/>
      <w:pPr>
        <w:ind w:left="1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4F6D0">
      <w:start w:val="1"/>
      <w:numFmt w:val="decimal"/>
      <w:lvlText w:val="%4"/>
      <w:lvlJc w:val="left"/>
      <w:pPr>
        <w:ind w:left="2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4013BE">
      <w:start w:val="1"/>
      <w:numFmt w:val="lowerLetter"/>
      <w:lvlText w:val="%5"/>
      <w:lvlJc w:val="left"/>
      <w:pPr>
        <w:ind w:left="3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264CC6">
      <w:start w:val="1"/>
      <w:numFmt w:val="lowerRoman"/>
      <w:lvlText w:val="%6"/>
      <w:lvlJc w:val="left"/>
      <w:pPr>
        <w:ind w:left="3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82FC2C">
      <w:start w:val="1"/>
      <w:numFmt w:val="decimal"/>
      <w:lvlText w:val="%7"/>
      <w:lvlJc w:val="left"/>
      <w:pPr>
        <w:ind w:left="4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2172C">
      <w:start w:val="1"/>
      <w:numFmt w:val="lowerLetter"/>
      <w:lvlText w:val="%8"/>
      <w:lvlJc w:val="left"/>
      <w:pPr>
        <w:ind w:left="5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0F6EC">
      <w:start w:val="1"/>
      <w:numFmt w:val="lowerRoman"/>
      <w:lvlText w:val="%9"/>
      <w:lvlJc w:val="left"/>
      <w:pPr>
        <w:ind w:left="5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9519F4"/>
    <w:multiLevelType w:val="hybridMultilevel"/>
    <w:tmpl w:val="CE8A0B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F814D6"/>
    <w:multiLevelType w:val="hybridMultilevel"/>
    <w:tmpl w:val="EAA2CBF2"/>
    <w:lvl w:ilvl="0" w:tplc="BB846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7380C"/>
    <w:multiLevelType w:val="hybridMultilevel"/>
    <w:tmpl w:val="FBBC27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A61D3"/>
    <w:multiLevelType w:val="hybridMultilevel"/>
    <w:tmpl w:val="66BCD4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E0BA5"/>
    <w:multiLevelType w:val="hybridMultilevel"/>
    <w:tmpl w:val="D786D3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C25"/>
    <w:multiLevelType w:val="hybridMultilevel"/>
    <w:tmpl w:val="BFC440A6"/>
    <w:lvl w:ilvl="0" w:tplc="842C3484">
      <w:start w:val="1"/>
      <w:numFmt w:val="decimal"/>
      <w:lvlText w:val="%1."/>
      <w:lvlJc w:val="left"/>
      <w:pPr>
        <w:ind w:left="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82ECE">
      <w:start w:val="1"/>
      <w:numFmt w:val="lowerLetter"/>
      <w:lvlText w:val="%2)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7241AC">
      <w:start w:val="8180"/>
      <w:numFmt w:val="decimal"/>
      <w:lvlText w:val="%3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0B120">
      <w:start w:val="1"/>
      <w:numFmt w:val="decimal"/>
      <w:lvlText w:val="%4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6C1D2">
      <w:start w:val="1"/>
      <w:numFmt w:val="lowerLetter"/>
      <w:lvlText w:val="%5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D8A126">
      <w:start w:val="1"/>
      <w:numFmt w:val="lowerRoman"/>
      <w:lvlText w:val="%6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6657E">
      <w:start w:val="1"/>
      <w:numFmt w:val="decimal"/>
      <w:lvlText w:val="%7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05EEE">
      <w:start w:val="1"/>
      <w:numFmt w:val="lowerLetter"/>
      <w:lvlText w:val="%8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E89BE">
      <w:start w:val="1"/>
      <w:numFmt w:val="lowerRoman"/>
      <w:lvlText w:val="%9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5170A7"/>
    <w:multiLevelType w:val="hybridMultilevel"/>
    <w:tmpl w:val="012EB972"/>
    <w:lvl w:ilvl="0" w:tplc="634497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66C21"/>
    <w:multiLevelType w:val="hybridMultilevel"/>
    <w:tmpl w:val="3FD2B30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416E2"/>
    <w:multiLevelType w:val="hybridMultilevel"/>
    <w:tmpl w:val="0A98D0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841C1"/>
    <w:multiLevelType w:val="hybridMultilevel"/>
    <w:tmpl w:val="74FC55E0"/>
    <w:lvl w:ilvl="0" w:tplc="F01ABFA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C924A">
      <w:start w:val="2"/>
      <w:numFmt w:val="lowerLetter"/>
      <w:lvlText w:val="%2)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EA20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80534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765636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62666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0E38E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804E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2863A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412C09"/>
    <w:multiLevelType w:val="hybridMultilevel"/>
    <w:tmpl w:val="1A80E7E4"/>
    <w:lvl w:ilvl="0" w:tplc="BB846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44012"/>
    <w:multiLevelType w:val="hybridMultilevel"/>
    <w:tmpl w:val="2132C9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1F93"/>
    <w:multiLevelType w:val="hybridMultilevel"/>
    <w:tmpl w:val="18EED4AC"/>
    <w:lvl w:ilvl="0" w:tplc="634497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5132"/>
    <w:multiLevelType w:val="hybridMultilevel"/>
    <w:tmpl w:val="89AC251A"/>
    <w:lvl w:ilvl="0" w:tplc="02DAD810">
      <w:start w:val="1"/>
      <w:numFmt w:val="lowerLetter"/>
      <w:lvlText w:val="%1)"/>
      <w:lvlJc w:val="left"/>
      <w:pPr>
        <w:ind w:left="825" w:hanging="46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1D25"/>
    <w:multiLevelType w:val="hybridMultilevel"/>
    <w:tmpl w:val="B99050AE"/>
    <w:lvl w:ilvl="0" w:tplc="017A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A7BF0"/>
    <w:multiLevelType w:val="hybridMultilevel"/>
    <w:tmpl w:val="CFD6EC7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E418F"/>
    <w:multiLevelType w:val="multilevel"/>
    <w:tmpl w:val="B956A7A8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001019"/>
    <w:multiLevelType w:val="hybridMultilevel"/>
    <w:tmpl w:val="B83A2486"/>
    <w:lvl w:ilvl="0" w:tplc="37425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B664B"/>
    <w:multiLevelType w:val="hybridMultilevel"/>
    <w:tmpl w:val="A5508AF4"/>
    <w:lvl w:ilvl="0" w:tplc="78B8C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E4764"/>
    <w:multiLevelType w:val="hybridMultilevel"/>
    <w:tmpl w:val="096E2932"/>
    <w:lvl w:ilvl="0" w:tplc="041B0017">
      <w:start w:val="1"/>
      <w:numFmt w:val="lowerLetter"/>
      <w:lvlText w:val="%1)"/>
      <w:lvlJc w:val="left"/>
      <w:pPr>
        <w:ind w:left="1224" w:hanging="360"/>
      </w:pPr>
    </w:lvl>
    <w:lvl w:ilvl="1" w:tplc="041B0019" w:tentative="1">
      <w:start w:val="1"/>
      <w:numFmt w:val="lowerLetter"/>
      <w:lvlText w:val="%2."/>
      <w:lvlJc w:val="left"/>
      <w:pPr>
        <w:ind w:left="1944" w:hanging="360"/>
      </w:pPr>
    </w:lvl>
    <w:lvl w:ilvl="2" w:tplc="041B001B" w:tentative="1">
      <w:start w:val="1"/>
      <w:numFmt w:val="lowerRoman"/>
      <w:lvlText w:val="%3."/>
      <w:lvlJc w:val="right"/>
      <w:pPr>
        <w:ind w:left="2664" w:hanging="180"/>
      </w:pPr>
    </w:lvl>
    <w:lvl w:ilvl="3" w:tplc="041B000F" w:tentative="1">
      <w:start w:val="1"/>
      <w:numFmt w:val="decimal"/>
      <w:lvlText w:val="%4."/>
      <w:lvlJc w:val="left"/>
      <w:pPr>
        <w:ind w:left="3384" w:hanging="360"/>
      </w:pPr>
    </w:lvl>
    <w:lvl w:ilvl="4" w:tplc="041B0019" w:tentative="1">
      <w:start w:val="1"/>
      <w:numFmt w:val="lowerLetter"/>
      <w:lvlText w:val="%5."/>
      <w:lvlJc w:val="left"/>
      <w:pPr>
        <w:ind w:left="4104" w:hanging="360"/>
      </w:pPr>
    </w:lvl>
    <w:lvl w:ilvl="5" w:tplc="041B001B" w:tentative="1">
      <w:start w:val="1"/>
      <w:numFmt w:val="lowerRoman"/>
      <w:lvlText w:val="%6."/>
      <w:lvlJc w:val="right"/>
      <w:pPr>
        <w:ind w:left="4824" w:hanging="180"/>
      </w:pPr>
    </w:lvl>
    <w:lvl w:ilvl="6" w:tplc="041B000F" w:tentative="1">
      <w:start w:val="1"/>
      <w:numFmt w:val="decimal"/>
      <w:lvlText w:val="%7."/>
      <w:lvlJc w:val="left"/>
      <w:pPr>
        <w:ind w:left="5544" w:hanging="360"/>
      </w:pPr>
    </w:lvl>
    <w:lvl w:ilvl="7" w:tplc="041B0019" w:tentative="1">
      <w:start w:val="1"/>
      <w:numFmt w:val="lowerLetter"/>
      <w:lvlText w:val="%8."/>
      <w:lvlJc w:val="left"/>
      <w:pPr>
        <w:ind w:left="6264" w:hanging="360"/>
      </w:pPr>
    </w:lvl>
    <w:lvl w:ilvl="8" w:tplc="041B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9" w15:restartNumberingAfterBreak="0">
    <w:nsid w:val="559323CD"/>
    <w:multiLevelType w:val="hybridMultilevel"/>
    <w:tmpl w:val="14880AD0"/>
    <w:lvl w:ilvl="0" w:tplc="23027B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07F8C"/>
    <w:multiLevelType w:val="hybridMultilevel"/>
    <w:tmpl w:val="EBD86564"/>
    <w:lvl w:ilvl="0" w:tplc="634497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D320D"/>
    <w:multiLevelType w:val="hybridMultilevel"/>
    <w:tmpl w:val="393861E8"/>
    <w:lvl w:ilvl="0" w:tplc="D8A0179C">
      <w:start w:val="1"/>
      <w:numFmt w:val="lowerLetter"/>
      <w:lvlText w:val="%1)"/>
      <w:lvlJc w:val="left"/>
      <w:pPr>
        <w:ind w:left="825" w:hanging="46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D48CE"/>
    <w:multiLevelType w:val="hybridMultilevel"/>
    <w:tmpl w:val="9D007F5E"/>
    <w:lvl w:ilvl="0" w:tplc="FA342F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B1050"/>
    <w:multiLevelType w:val="hybridMultilevel"/>
    <w:tmpl w:val="F1421EEA"/>
    <w:lvl w:ilvl="0" w:tplc="4C7A401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42FE4">
      <w:start w:val="1"/>
      <w:numFmt w:val="bullet"/>
      <w:lvlText w:val="-"/>
      <w:lvlJc w:val="left"/>
      <w:pPr>
        <w:ind w:left="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C535C">
      <w:start w:val="1"/>
      <w:numFmt w:val="bullet"/>
      <w:lvlText w:val="▪"/>
      <w:lvlJc w:val="left"/>
      <w:pPr>
        <w:ind w:left="15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2541C">
      <w:start w:val="1"/>
      <w:numFmt w:val="bullet"/>
      <w:lvlText w:val="•"/>
      <w:lvlJc w:val="left"/>
      <w:pPr>
        <w:ind w:left="2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329964">
      <w:start w:val="1"/>
      <w:numFmt w:val="bullet"/>
      <w:lvlText w:val="o"/>
      <w:lvlJc w:val="left"/>
      <w:pPr>
        <w:ind w:left="30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0C02C">
      <w:start w:val="1"/>
      <w:numFmt w:val="bullet"/>
      <w:lvlText w:val="▪"/>
      <w:lvlJc w:val="left"/>
      <w:pPr>
        <w:ind w:left="37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8AC50">
      <w:start w:val="1"/>
      <w:numFmt w:val="bullet"/>
      <w:lvlText w:val="•"/>
      <w:lvlJc w:val="left"/>
      <w:pPr>
        <w:ind w:left="44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C2384">
      <w:start w:val="1"/>
      <w:numFmt w:val="bullet"/>
      <w:lvlText w:val="o"/>
      <w:lvlJc w:val="left"/>
      <w:pPr>
        <w:ind w:left="51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5A29C0">
      <w:start w:val="1"/>
      <w:numFmt w:val="bullet"/>
      <w:lvlText w:val="▪"/>
      <w:lvlJc w:val="left"/>
      <w:pPr>
        <w:ind w:left="59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243C4E"/>
    <w:multiLevelType w:val="hybridMultilevel"/>
    <w:tmpl w:val="651A1E48"/>
    <w:lvl w:ilvl="0" w:tplc="634497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14AB0"/>
    <w:multiLevelType w:val="hybridMultilevel"/>
    <w:tmpl w:val="FC48FBFC"/>
    <w:lvl w:ilvl="0" w:tplc="7B481C3C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9E51F2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60DCA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04C92A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C27B8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E4F34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C62FA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8C397A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1E5312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"/>
  </w:num>
  <w:num w:numId="18">
    <w:abstractNumId w:val="3"/>
  </w:num>
  <w:num w:numId="19">
    <w:abstractNumId w:val="2"/>
  </w:num>
  <w:num w:numId="20">
    <w:abstractNumId w:val="6"/>
  </w:num>
  <w:num w:numId="21">
    <w:abstractNumId w:val="23"/>
  </w:num>
  <w:num w:numId="22">
    <w:abstractNumId w:val="26"/>
  </w:num>
  <w:num w:numId="23">
    <w:abstractNumId w:val="12"/>
  </w:num>
  <w:num w:numId="24">
    <w:abstractNumId w:val="8"/>
  </w:num>
  <w:num w:numId="25">
    <w:abstractNumId w:val="33"/>
  </w:num>
  <w:num w:numId="26">
    <w:abstractNumId w:val="28"/>
  </w:num>
  <w:num w:numId="27">
    <w:abstractNumId w:val="18"/>
  </w:num>
  <w:num w:numId="28">
    <w:abstractNumId w:val="27"/>
  </w:num>
  <w:num w:numId="29">
    <w:abstractNumId w:val="0"/>
  </w:num>
  <w:num w:numId="30">
    <w:abstractNumId w:val="32"/>
  </w:num>
  <w:num w:numId="31">
    <w:abstractNumId w:val="21"/>
  </w:num>
  <w:num w:numId="32">
    <w:abstractNumId w:val="15"/>
  </w:num>
  <w:num w:numId="33">
    <w:abstractNumId w:val="30"/>
  </w:num>
  <w:num w:numId="34">
    <w:abstractNumId w:val="7"/>
  </w:num>
  <w:num w:numId="35">
    <w:abstractNumId w:val="10"/>
  </w:num>
  <w:num w:numId="36">
    <w:abstractNumId w:val="35"/>
  </w:num>
  <w:num w:numId="37">
    <w:abstractNumId w:val="34"/>
  </w:num>
  <w:num w:numId="38">
    <w:abstractNumId w:val="19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9A"/>
    <w:rsid w:val="0013052E"/>
    <w:rsid w:val="003850DC"/>
    <w:rsid w:val="00387440"/>
    <w:rsid w:val="004F409A"/>
    <w:rsid w:val="00515BD2"/>
    <w:rsid w:val="005F2EFB"/>
    <w:rsid w:val="006A64BC"/>
    <w:rsid w:val="006A658E"/>
    <w:rsid w:val="006C204F"/>
    <w:rsid w:val="006D0C7F"/>
    <w:rsid w:val="00713E1E"/>
    <w:rsid w:val="00713EB1"/>
    <w:rsid w:val="00715BF2"/>
    <w:rsid w:val="0072522E"/>
    <w:rsid w:val="00786329"/>
    <w:rsid w:val="00795F59"/>
    <w:rsid w:val="007D544F"/>
    <w:rsid w:val="007F583D"/>
    <w:rsid w:val="00840FE5"/>
    <w:rsid w:val="008A2A78"/>
    <w:rsid w:val="00907177"/>
    <w:rsid w:val="00940336"/>
    <w:rsid w:val="009778C6"/>
    <w:rsid w:val="009A5131"/>
    <w:rsid w:val="009D451D"/>
    <w:rsid w:val="009F7D0F"/>
    <w:rsid w:val="00A21635"/>
    <w:rsid w:val="00A26E52"/>
    <w:rsid w:val="00A34306"/>
    <w:rsid w:val="00AD513E"/>
    <w:rsid w:val="00AE52D6"/>
    <w:rsid w:val="00B55132"/>
    <w:rsid w:val="00BA44E6"/>
    <w:rsid w:val="00C16A9E"/>
    <w:rsid w:val="00CA770D"/>
    <w:rsid w:val="00CF3516"/>
    <w:rsid w:val="00D424EC"/>
    <w:rsid w:val="00DA03DB"/>
    <w:rsid w:val="00ED255D"/>
    <w:rsid w:val="00F955D7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010E"/>
  <w15:chartTrackingRefBased/>
  <w15:docId w15:val="{C1394A9C-F98F-4D25-AFC3-5CCDBAFE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409A"/>
    <w:pPr>
      <w:spacing w:line="256" w:lineRule="auto"/>
    </w:pPr>
  </w:style>
  <w:style w:type="paragraph" w:styleId="Nadpis1">
    <w:name w:val="heading 1"/>
    <w:next w:val="Normlny"/>
    <w:link w:val="Nadpis1Char"/>
    <w:uiPriority w:val="9"/>
    <w:unhideWhenUsed/>
    <w:qFormat/>
    <w:rsid w:val="00A34306"/>
    <w:pPr>
      <w:keepNext/>
      <w:keepLines/>
      <w:spacing w:after="84"/>
      <w:ind w:left="281" w:hanging="10"/>
      <w:jc w:val="center"/>
      <w:outlineLvl w:val="0"/>
    </w:pPr>
    <w:rPr>
      <w:rFonts w:ascii="Calibri" w:eastAsia="Calibri" w:hAnsi="Calibri" w:cs="Calibri"/>
      <w:b/>
      <w:color w:val="000000"/>
      <w:sz w:val="32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A34306"/>
    <w:pPr>
      <w:keepNext/>
      <w:keepLines/>
      <w:spacing w:after="79"/>
      <w:ind w:left="718" w:hanging="10"/>
      <w:outlineLvl w:val="1"/>
    </w:pPr>
    <w:rPr>
      <w:rFonts w:ascii="Calibri" w:eastAsia="Calibri" w:hAnsi="Calibri" w:cs="Calibri"/>
      <w:b/>
      <w:color w:val="000000"/>
      <w:sz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51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F409A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4F409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F409A"/>
    <w:pPr>
      <w:ind w:left="720"/>
      <w:contextualSpacing/>
    </w:pPr>
  </w:style>
  <w:style w:type="paragraph" w:customStyle="1" w:styleId="Default">
    <w:name w:val="Default"/>
    <w:rsid w:val="004F4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A34306"/>
    <w:rPr>
      <w:rFonts w:ascii="Calibri" w:eastAsia="Calibri" w:hAnsi="Calibri" w:cs="Calibri"/>
      <w:b/>
      <w:color w:val="000000"/>
      <w:sz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A34306"/>
    <w:rPr>
      <w:rFonts w:ascii="Calibri" w:eastAsia="Calibri" w:hAnsi="Calibri" w:cs="Calibri"/>
      <w:b/>
      <w:color w:val="000000"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51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otnotedescription">
    <w:name w:val="footnote description"/>
    <w:next w:val="Normlny"/>
    <w:link w:val="footnotedescriptionChar"/>
    <w:hidden/>
    <w:rsid w:val="00CF3516"/>
    <w:pPr>
      <w:spacing w:after="0" w:line="245" w:lineRule="auto"/>
      <w:ind w:left="218" w:right="59"/>
      <w:jc w:val="both"/>
    </w:pPr>
    <w:rPr>
      <w:rFonts w:ascii="Calibri" w:eastAsia="Calibri" w:hAnsi="Calibri" w:cs="Calibri"/>
      <w:color w:val="000000"/>
      <w:sz w:val="20"/>
      <w:lang w:eastAsia="sk-SK"/>
    </w:rPr>
  </w:style>
  <w:style w:type="character" w:customStyle="1" w:styleId="footnotedescriptionChar">
    <w:name w:val="footnote description Char"/>
    <w:link w:val="footnotedescription"/>
    <w:rsid w:val="00CF3516"/>
    <w:rPr>
      <w:rFonts w:ascii="Calibri" w:eastAsia="Calibri" w:hAnsi="Calibri" w:cs="Calibri"/>
      <w:color w:val="000000"/>
      <w:sz w:val="20"/>
      <w:lang w:eastAsia="sk-SK"/>
    </w:rPr>
  </w:style>
  <w:style w:type="character" w:customStyle="1" w:styleId="footnotemark">
    <w:name w:val="footnote mark"/>
    <w:hidden/>
    <w:rsid w:val="00CF3516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6B60-C3EC-4634-87ED-109ADECF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LANÁTOROVÁ Alexandra</dc:creator>
  <cp:keywords/>
  <dc:description/>
  <cp:lastModifiedBy>LANÁTOROVÁ Alexandra</cp:lastModifiedBy>
  <cp:revision>20</cp:revision>
  <dcterms:created xsi:type="dcterms:W3CDTF">2024-12-18T07:56:00Z</dcterms:created>
  <dcterms:modified xsi:type="dcterms:W3CDTF">2024-12-18T13:34:00Z</dcterms:modified>
</cp:coreProperties>
</file>