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503" w:rsidRPr="007C5FD2" w:rsidRDefault="00395503" w:rsidP="00395503">
      <w:pPr>
        <w:jc w:val="both"/>
        <w:rPr>
          <w:rFonts w:cstheme="minorHAnsi"/>
          <w:b/>
          <w:sz w:val="24"/>
          <w:szCs w:val="24"/>
        </w:rPr>
      </w:pPr>
      <w:bookmarkStart w:id="0" w:name="_GoBack"/>
      <w:bookmarkEnd w:id="0"/>
      <w:r>
        <w:rPr>
          <w:rFonts w:cstheme="minorHAnsi"/>
          <w:b/>
          <w:sz w:val="24"/>
          <w:szCs w:val="24"/>
        </w:rPr>
        <w:t>Informácia o 45</w:t>
      </w:r>
      <w:r w:rsidRPr="007C5FD2">
        <w:rPr>
          <w:rFonts w:cstheme="minorHAnsi"/>
          <w:b/>
          <w:sz w:val="24"/>
          <w:szCs w:val="24"/>
        </w:rPr>
        <w:t>. zasadnutí Rady vlády SR pre ľudské práva, národnostné menšiny a rodovú rovnosť</w:t>
      </w:r>
    </w:p>
    <w:p w:rsidR="00395503" w:rsidRPr="00AE415E" w:rsidRDefault="00395503" w:rsidP="00395503">
      <w:pPr>
        <w:jc w:val="both"/>
      </w:pPr>
      <w:r>
        <w:t> </w:t>
      </w:r>
      <w:r>
        <w:br/>
      </w:r>
      <w:r w:rsidRPr="00AE415E">
        <w:t>Dňa 29. januára 2024 sa v priestoroch Účelového zariadenia Bôrik v Bratislave uskutočnilo                                        45. zasadnutie Rady vlády SR pre ľudské práva, národnostné menšiny a rodovú rovnosť (ďalej                   len „rada“), ktorému predsedal štátny  tajomník ministerstva spravodlivosti Pavol Gašpar. Program bol schválený v nasledujúcom znení:</w:t>
      </w:r>
    </w:p>
    <w:p w:rsidR="00395503" w:rsidRPr="00AE415E" w:rsidRDefault="00395503" w:rsidP="00395503">
      <w:pPr>
        <w:pStyle w:val="Odsekzoznamu"/>
        <w:numPr>
          <w:ilvl w:val="0"/>
          <w:numId w:val="1"/>
        </w:numPr>
        <w:spacing w:line="240" w:lineRule="auto"/>
        <w:ind w:left="284" w:hanging="284"/>
        <w:jc w:val="both"/>
      </w:pPr>
      <w:r w:rsidRPr="00AE415E">
        <w:t xml:space="preserve">Informácia zo zasadnutí výborov a o plnení uznesení </w:t>
      </w:r>
    </w:p>
    <w:p w:rsidR="00395503" w:rsidRPr="00AE415E" w:rsidRDefault="00395503" w:rsidP="00395503">
      <w:pPr>
        <w:pStyle w:val="Odsekzoznamu"/>
        <w:numPr>
          <w:ilvl w:val="0"/>
          <w:numId w:val="1"/>
        </w:numPr>
        <w:spacing w:line="240" w:lineRule="auto"/>
        <w:ind w:left="284" w:hanging="284"/>
        <w:jc w:val="both"/>
      </w:pPr>
      <w:r w:rsidRPr="00AE415E">
        <w:t>Informácia o stave zákonnosti v reedukačných centrách a návrhoch opatrení</w:t>
      </w:r>
    </w:p>
    <w:p w:rsidR="00395503" w:rsidRPr="00AE415E" w:rsidRDefault="00395503" w:rsidP="00395503">
      <w:pPr>
        <w:pStyle w:val="Odsekzoznamu"/>
        <w:numPr>
          <w:ilvl w:val="0"/>
          <w:numId w:val="1"/>
        </w:numPr>
        <w:spacing w:line="240" w:lineRule="auto"/>
        <w:ind w:left="284" w:hanging="284"/>
        <w:jc w:val="both"/>
      </w:pPr>
      <w:r w:rsidRPr="00AE415E">
        <w:t xml:space="preserve">Stanovisko verejného ochrancu práv k dodržiavaniu práva pacientov a poistencov na inú právnu ochranu podľa čl. 46 ods. 1 Ústavy Slovenskej republiky v rozhodovacej činnosti Všeobecnej zdravotnej, a. s. </w:t>
      </w:r>
    </w:p>
    <w:p w:rsidR="00395503" w:rsidRPr="00AE415E" w:rsidRDefault="00395503" w:rsidP="00395503">
      <w:pPr>
        <w:pStyle w:val="Odsekzoznamu"/>
        <w:numPr>
          <w:ilvl w:val="0"/>
          <w:numId w:val="1"/>
        </w:numPr>
        <w:spacing w:line="240" w:lineRule="auto"/>
        <w:ind w:left="284" w:hanging="284"/>
        <w:jc w:val="both"/>
      </w:pPr>
      <w:r w:rsidRPr="00AE415E">
        <w:t>Hodnotiaca správa Výboru pre národnostné menšiny a etnické skupiny o podpore kultúry národnostných menšín, o stave národnostného školstva a o používaní jazykov národnostných menšín za obdobie rokov 2021 - 2022</w:t>
      </w:r>
    </w:p>
    <w:p w:rsidR="00395503" w:rsidRPr="00AE415E" w:rsidRDefault="00395503" w:rsidP="00395503">
      <w:pPr>
        <w:pStyle w:val="Odsekzoznamu"/>
        <w:numPr>
          <w:ilvl w:val="0"/>
          <w:numId w:val="1"/>
        </w:numPr>
        <w:spacing w:line="240" w:lineRule="auto"/>
        <w:ind w:left="284" w:hanging="284"/>
        <w:jc w:val="both"/>
      </w:pPr>
      <w:r w:rsidRPr="00AE415E">
        <w:t>Uznesenie Výboru pre národnostné menšiny a etnické skupiny k návrhu zlúčenia Fondu na podporu umenia a Fondu na podporu kultúry národnostných menšín vyplývajúci z Plánu legislatívnych úloh vlády SR na rok 2024</w:t>
      </w:r>
    </w:p>
    <w:p w:rsidR="00395503" w:rsidRPr="00AE415E" w:rsidRDefault="00395503" w:rsidP="00395503">
      <w:pPr>
        <w:pStyle w:val="Odsekzoznamu"/>
        <w:numPr>
          <w:ilvl w:val="0"/>
          <w:numId w:val="1"/>
        </w:numPr>
        <w:spacing w:line="240" w:lineRule="auto"/>
        <w:ind w:left="284" w:hanging="284"/>
        <w:jc w:val="both"/>
      </w:pPr>
      <w:r w:rsidRPr="00AE415E">
        <w:t>Informácie o príprave štandardov pre dištančné poradenstvo prostredníctvom liniek pomoci</w:t>
      </w:r>
    </w:p>
    <w:p w:rsidR="00395503" w:rsidRPr="00AE415E" w:rsidRDefault="00395503" w:rsidP="00395503">
      <w:pPr>
        <w:pStyle w:val="Odsekzoznamu"/>
        <w:numPr>
          <w:ilvl w:val="0"/>
          <w:numId w:val="1"/>
        </w:numPr>
        <w:spacing w:line="240" w:lineRule="auto"/>
        <w:ind w:left="284" w:hanging="284"/>
        <w:jc w:val="both"/>
      </w:pPr>
      <w:r w:rsidRPr="00AE415E">
        <w:t>Rôzne</w:t>
      </w:r>
    </w:p>
    <w:p w:rsidR="00395503" w:rsidRPr="00AE415E" w:rsidRDefault="00395503" w:rsidP="00395503">
      <w:pPr>
        <w:pStyle w:val="Odsekzoznamu"/>
        <w:numPr>
          <w:ilvl w:val="0"/>
          <w:numId w:val="2"/>
        </w:numPr>
        <w:spacing w:line="240" w:lineRule="auto"/>
        <w:jc w:val="both"/>
      </w:pPr>
      <w:r w:rsidRPr="00AE415E">
        <w:t>Aktuálna informácia k Národnej koncepcii prevencie a ukončovania bezdomovectva</w:t>
      </w:r>
    </w:p>
    <w:p w:rsidR="00395503" w:rsidRPr="00AE415E" w:rsidRDefault="00395503" w:rsidP="00395503">
      <w:pPr>
        <w:pStyle w:val="Odsekzoznamu"/>
        <w:numPr>
          <w:ilvl w:val="0"/>
          <w:numId w:val="2"/>
        </w:numPr>
        <w:spacing w:line="240" w:lineRule="auto"/>
        <w:jc w:val="both"/>
      </w:pPr>
      <w:r w:rsidRPr="00AE415E">
        <w:t>Informácia o 7. pravidelnej návšteve CPT</w:t>
      </w:r>
    </w:p>
    <w:p w:rsidR="00395503" w:rsidRPr="00AE415E" w:rsidRDefault="00395503" w:rsidP="00395503">
      <w:pPr>
        <w:pStyle w:val="Odsekzoznamu"/>
        <w:numPr>
          <w:ilvl w:val="0"/>
          <w:numId w:val="2"/>
        </w:numPr>
        <w:spacing w:line="240" w:lineRule="auto"/>
        <w:jc w:val="both"/>
      </w:pPr>
      <w:r w:rsidRPr="00AE415E">
        <w:t>Informácia o plnení implementačnej povinnosti SR vo vzťahu ku kontrolným a monitorovacím orgánom OSN a Rady Európy, ktoré sú v kompetencií MZVEZ SR – časový harmonogram na r. 2024</w:t>
      </w:r>
    </w:p>
    <w:p w:rsidR="00395503" w:rsidRPr="00AE415E" w:rsidRDefault="00395503" w:rsidP="00395503">
      <w:pPr>
        <w:spacing w:line="240" w:lineRule="auto"/>
        <w:jc w:val="both"/>
        <w:rPr>
          <w:color w:val="000000" w:themeColor="text1"/>
        </w:rPr>
      </w:pPr>
    </w:p>
    <w:p w:rsidR="00395503" w:rsidRPr="00B8158A" w:rsidRDefault="00395503" w:rsidP="00395503">
      <w:pPr>
        <w:spacing w:line="240" w:lineRule="auto"/>
        <w:jc w:val="both"/>
        <w:rPr>
          <w:color w:val="000000" w:themeColor="text1"/>
        </w:rPr>
      </w:pPr>
      <w:r>
        <w:rPr>
          <w:b/>
          <w:color w:val="000000" w:themeColor="text1"/>
          <w:sz w:val="24"/>
          <w:szCs w:val="24"/>
        </w:rPr>
        <w:t>BOD 1</w:t>
      </w:r>
    </w:p>
    <w:p w:rsidR="00395503" w:rsidRPr="00AE415E" w:rsidRDefault="00DD0965" w:rsidP="00395503">
      <w:pPr>
        <w:jc w:val="both"/>
      </w:pPr>
      <w:r>
        <w:t xml:space="preserve">Rada bola informovaná o </w:t>
      </w:r>
      <w:r w:rsidR="00395503" w:rsidRPr="00AE415E">
        <w:t>zasadnutia</w:t>
      </w:r>
      <w:r>
        <w:t>ch</w:t>
      </w:r>
      <w:r w:rsidR="00395503" w:rsidRPr="00AE415E">
        <w:t xml:space="preserve"> Výbor</w:t>
      </w:r>
      <w:r>
        <w:t>u</w:t>
      </w:r>
      <w:r w:rsidR="00395503" w:rsidRPr="00AE415E">
        <w:t xml:space="preserve"> pre národnostné menšiny a etnické sku</w:t>
      </w:r>
      <w:r w:rsidR="00E57D7B" w:rsidRPr="00AE415E">
        <w:t>piny a Výbor</w:t>
      </w:r>
      <w:r>
        <w:t>u</w:t>
      </w:r>
      <w:r w:rsidR="00E57D7B" w:rsidRPr="00AE415E">
        <w:t xml:space="preserve"> pre deti a mládež. </w:t>
      </w:r>
      <w:r>
        <w:t>Z</w:t>
      </w:r>
      <w:r w:rsidR="00E57D7B" w:rsidRPr="00A1054C">
        <w:t xml:space="preserve">ástupca </w:t>
      </w:r>
      <w:r>
        <w:t>rezortu</w:t>
      </w:r>
      <w:r w:rsidR="00E57D7B" w:rsidRPr="00A1054C">
        <w:t xml:space="preserve"> školstva</w:t>
      </w:r>
      <w:r>
        <w:t xml:space="preserve"> </w:t>
      </w:r>
      <w:r w:rsidR="00E57D7B" w:rsidRPr="00A1054C">
        <w:t xml:space="preserve">informoval o aktuálnom stave Výboru pre </w:t>
      </w:r>
      <w:r w:rsidR="00F23D1B" w:rsidRPr="00A1054C">
        <w:t xml:space="preserve">výskum, </w:t>
      </w:r>
      <w:r w:rsidR="00E57D7B" w:rsidRPr="00A1054C">
        <w:t>vzdelávanie</w:t>
      </w:r>
      <w:r w:rsidR="00F23D1B" w:rsidRPr="00A1054C">
        <w:t xml:space="preserve"> a výchovu v oblasti ľudských práv a rozvojového vzdelávania</w:t>
      </w:r>
      <w:r w:rsidR="00E57D7B" w:rsidRPr="00A1054C">
        <w:t>, ktorého sfunkčnenie bolo za predošlého vedenia ministerstva odložené</w:t>
      </w:r>
      <w:r w:rsidR="007F6EE4" w:rsidRPr="00A1054C">
        <w:t xml:space="preserve"> nepodpísaním nového štatútu</w:t>
      </w:r>
      <w:r w:rsidR="00E57D7B" w:rsidRPr="00A1054C">
        <w:t xml:space="preserve"> a</w:t>
      </w:r>
      <w:r w:rsidR="00E57D7B" w:rsidRPr="00AE415E">
        <w:t xml:space="preserve"> znovu sa tento proces bude otvárať v najbližších dňoch. </w:t>
      </w:r>
      <w:r w:rsidR="00395503" w:rsidRPr="00AE415E">
        <w:t xml:space="preserve">Tajomník rady informoval členov o plnení uznesení rady a to osobitne o uznesení č. 302, ktorým rada na návrh verejného ochrancu práv odporučila </w:t>
      </w:r>
      <w:r w:rsidR="00395503" w:rsidRPr="00F23D1B">
        <w:t>Ministerstvu</w:t>
      </w:r>
      <w:r w:rsidR="00395503" w:rsidRPr="00AE415E">
        <w:t xml:space="preserve"> zdravotníctva SR v druhej polovici roka 2023 vykonať faktické posúdenie prijatých vnútorných poriadkov a zverejniť do konca januára 2024 správu, ktorá bola spracovaná a členom rady zaslaná. Verejný ochranca práv v diskusii ocenil spoluprácu s rezortom zdravotníctva. Zároveň</w:t>
      </w:r>
      <w:r>
        <w:t xml:space="preserve"> tajomník rady</w:t>
      </w:r>
      <w:r w:rsidR="00395503" w:rsidRPr="00AE415E">
        <w:t xml:space="preserve"> informoval o tom, že práca pracovnej skupiny rady pre riešenie jej zmysluplnosti a účelu zriadená uznesením č. 267 sa nateraz považuje za ukončenú, pričom členovia rady budú oboznámený so stanoviskom k navrhnutým zmenám štatútu rady potom</w:t>
      </w:r>
      <w:r>
        <w:t>,</w:t>
      </w:r>
      <w:r w:rsidR="00395503" w:rsidRPr="00AE415E">
        <w:t xml:space="preserve"> čo bude mať nový predseda rady a minister spravodlivosti príležitosť sa s nimi oboznámiť. </w:t>
      </w:r>
    </w:p>
    <w:p w:rsidR="00395503" w:rsidRPr="00AE415E" w:rsidRDefault="00395503" w:rsidP="00395503">
      <w:pPr>
        <w:jc w:val="both"/>
      </w:pPr>
      <w:r w:rsidRPr="00AE415E">
        <w:lastRenderedPageBreak/>
        <w:t xml:space="preserve">V prvom bode programu rada prijala uznesenie č. 309, ktorým vzala na vedomie Informáciu o zasadnutiach výborov a o plnení uznesení rady. </w:t>
      </w:r>
    </w:p>
    <w:p w:rsidR="00395503" w:rsidRPr="004E66D6" w:rsidRDefault="00395503" w:rsidP="00395503">
      <w:pPr>
        <w:jc w:val="both"/>
        <w:rPr>
          <w:sz w:val="24"/>
          <w:szCs w:val="24"/>
        </w:rPr>
      </w:pPr>
    </w:p>
    <w:p w:rsidR="00DD0965" w:rsidRDefault="00DD0965" w:rsidP="00395503">
      <w:pPr>
        <w:spacing w:line="240" w:lineRule="auto"/>
        <w:jc w:val="both"/>
        <w:rPr>
          <w:b/>
          <w:sz w:val="24"/>
          <w:szCs w:val="24"/>
        </w:rPr>
      </w:pPr>
    </w:p>
    <w:p w:rsidR="00395503" w:rsidRPr="00487212" w:rsidRDefault="00395503" w:rsidP="00395503">
      <w:pPr>
        <w:spacing w:line="240" w:lineRule="auto"/>
        <w:jc w:val="both"/>
        <w:rPr>
          <w:b/>
          <w:sz w:val="24"/>
          <w:szCs w:val="24"/>
        </w:rPr>
      </w:pPr>
      <w:r w:rsidRPr="00487212">
        <w:rPr>
          <w:b/>
          <w:sz w:val="24"/>
          <w:szCs w:val="24"/>
        </w:rPr>
        <w:t>BOD 2</w:t>
      </w:r>
    </w:p>
    <w:p w:rsidR="00BA052A" w:rsidRPr="00AE415E" w:rsidRDefault="00DD0965" w:rsidP="00BA052A">
      <w:pPr>
        <w:tabs>
          <w:tab w:val="left" w:pos="1529"/>
        </w:tabs>
        <w:spacing w:after="0" w:line="250" w:lineRule="auto"/>
        <w:jc w:val="both"/>
      </w:pPr>
      <w:r w:rsidRPr="00AE415E">
        <w:t>Informáci</w:t>
      </w:r>
      <w:r>
        <w:t>u</w:t>
      </w:r>
      <w:r w:rsidRPr="00AE415E">
        <w:t xml:space="preserve"> o stave zákonnosti v reedukačných centrách a návrhoch opatrení</w:t>
      </w:r>
      <w:r>
        <w:t xml:space="preserve"> v nadväznosti na správu Generálnej prokuratúry SR </w:t>
      </w:r>
      <w:r w:rsidR="00820640">
        <w:rPr>
          <w:rFonts w:cs="Calibri"/>
          <w:color w:val="000000"/>
        </w:rPr>
        <w:t>predstavila</w:t>
      </w:r>
      <w:r>
        <w:rPr>
          <w:rFonts w:cs="Calibri"/>
          <w:color w:val="000000"/>
        </w:rPr>
        <w:t xml:space="preserve"> p</w:t>
      </w:r>
      <w:r w:rsidR="00887558" w:rsidRPr="00AE415E">
        <w:rPr>
          <w:rFonts w:cs="Calibri"/>
          <w:color w:val="000000"/>
        </w:rPr>
        <w:t>oradkyňa ministra spravodlivosti Marica Pirošíková</w:t>
      </w:r>
      <w:r>
        <w:rPr>
          <w:rFonts w:cs="Calibri"/>
          <w:color w:val="000000"/>
        </w:rPr>
        <w:t xml:space="preserve"> a</w:t>
      </w:r>
      <w:r w:rsidR="00887558" w:rsidRPr="00AE415E">
        <w:rPr>
          <w:rFonts w:cs="Calibri"/>
          <w:color w:val="000000"/>
        </w:rPr>
        <w:t xml:space="preserve"> informovala o naj</w:t>
      </w:r>
      <w:r>
        <w:rPr>
          <w:rFonts w:cs="Calibri"/>
          <w:color w:val="000000"/>
        </w:rPr>
        <w:t>zásadnejších</w:t>
      </w:r>
      <w:r w:rsidR="00887558" w:rsidRPr="00AE415E">
        <w:rPr>
          <w:rFonts w:cs="Calibri"/>
          <w:color w:val="000000"/>
        </w:rPr>
        <w:t xml:space="preserve"> porušeniach, ku ktorým dochádza v reedukačných centrách a uviedla, že mnohé z nich </w:t>
      </w:r>
      <w:r w:rsidR="00B90AE5" w:rsidRPr="00AE415E">
        <w:rPr>
          <w:rFonts w:cs="Calibri"/>
          <w:color w:val="000000"/>
        </w:rPr>
        <w:t xml:space="preserve">sú riešiteľné promptne </w:t>
      </w:r>
      <w:r w:rsidR="00476002">
        <w:rPr>
          <w:rFonts w:cs="Calibri"/>
          <w:color w:val="000000"/>
        </w:rPr>
        <w:t>z dôvodu, že</w:t>
      </w:r>
      <w:r w:rsidR="00B90AE5" w:rsidRPr="00AE415E">
        <w:rPr>
          <w:rFonts w:cs="Calibri"/>
          <w:color w:val="000000"/>
        </w:rPr>
        <w:t xml:space="preserve"> </w:t>
      </w:r>
      <w:r w:rsidR="00887558" w:rsidRPr="00AE415E">
        <w:rPr>
          <w:rFonts w:cs="Calibri"/>
          <w:color w:val="000000"/>
        </w:rPr>
        <w:t xml:space="preserve">už boli v minulosti pomenované a vznikol určitý základ pre ich riešenie, ktorý je potrebné uviesť do praxe. Experti rady upozornili aj na nedostatky systémovej ochrany detí v reedukačných centrách. </w:t>
      </w:r>
      <w:r w:rsidR="00FD32B2" w:rsidRPr="00A1054C">
        <w:rPr>
          <w:rFonts w:cs="Calibri"/>
          <w:color w:val="000000"/>
        </w:rPr>
        <w:t>Podľa</w:t>
      </w:r>
      <w:r>
        <w:rPr>
          <w:rFonts w:cs="Calibri"/>
          <w:color w:val="000000"/>
        </w:rPr>
        <w:t xml:space="preserve"> medzinárodných</w:t>
      </w:r>
      <w:r w:rsidR="00FD32B2" w:rsidRPr="00A1054C">
        <w:rPr>
          <w:rFonts w:cs="Calibri"/>
          <w:color w:val="000000"/>
        </w:rPr>
        <w:t xml:space="preserve"> štandardov</w:t>
      </w:r>
      <w:r w:rsidR="00FD32B2" w:rsidRPr="00AE415E">
        <w:rPr>
          <w:rFonts w:cs="Calibri"/>
          <w:color w:val="000000"/>
        </w:rPr>
        <w:t xml:space="preserve"> by </w:t>
      </w:r>
      <w:r>
        <w:rPr>
          <w:rFonts w:cs="Calibri"/>
          <w:color w:val="000000"/>
        </w:rPr>
        <w:t xml:space="preserve">mali mať deti v týchto centrách možnosť obrátiť sa na </w:t>
      </w:r>
      <w:r w:rsidR="00FD32B2" w:rsidRPr="00AE415E">
        <w:rPr>
          <w:rFonts w:cs="Calibri"/>
          <w:color w:val="000000"/>
        </w:rPr>
        <w:t>nezávislý orgán, ktorý by sa zaoberal ich sťažnosťami</w:t>
      </w:r>
      <w:r>
        <w:rPr>
          <w:rFonts w:cs="Calibri"/>
          <w:color w:val="000000"/>
        </w:rPr>
        <w:t>.</w:t>
      </w:r>
      <w:r w:rsidR="00FD32B2" w:rsidRPr="00AE415E">
        <w:rPr>
          <w:rFonts w:cs="Calibri"/>
          <w:color w:val="000000"/>
        </w:rPr>
        <w:t xml:space="preserve"> </w:t>
      </w:r>
      <w:r>
        <w:rPr>
          <w:rFonts w:cs="Calibri"/>
          <w:color w:val="000000"/>
        </w:rPr>
        <w:t>V</w:t>
      </w:r>
      <w:r w:rsidR="00FD32B2" w:rsidRPr="00AE415E">
        <w:rPr>
          <w:rFonts w:cs="Calibri"/>
          <w:color w:val="000000"/>
        </w:rPr>
        <w:t>erejný ochranca práv</w:t>
      </w:r>
      <w:r>
        <w:rPr>
          <w:rFonts w:cs="Calibri"/>
          <w:color w:val="000000"/>
        </w:rPr>
        <w:t xml:space="preserve"> uviedol</w:t>
      </w:r>
      <w:r w:rsidR="00FD32B2" w:rsidRPr="00AE415E">
        <w:rPr>
          <w:rFonts w:cs="Calibri"/>
          <w:color w:val="000000"/>
        </w:rPr>
        <w:t>,</w:t>
      </w:r>
      <w:r>
        <w:rPr>
          <w:rFonts w:cs="Calibri"/>
          <w:color w:val="000000"/>
        </w:rPr>
        <w:t xml:space="preserve"> že deti v reedukačných centrách</w:t>
      </w:r>
      <w:r w:rsidR="00FD32B2" w:rsidRPr="00AE415E">
        <w:rPr>
          <w:rFonts w:cs="Calibri"/>
          <w:color w:val="000000"/>
        </w:rPr>
        <w:t xml:space="preserve"> často majú viac obmedzené práva ako osoby vo výkone trestu odňatia slobody. K tejto téme sa vyjadrila aj riaditeľka Slovenského národného strediska pre ľudské práva Silvia Porubänová, že problém vidí aj v</w:t>
      </w:r>
      <w:r w:rsidR="00B90AE5" w:rsidRPr="00AE415E">
        <w:rPr>
          <w:rFonts w:cs="Calibri"/>
          <w:color w:val="000000"/>
        </w:rPr>
        <w:t xml:space="preserve"> nedostatkoch profesionálnej diagnostiky súvisiaci aj so všeobecným nedostatkom pracovníkov v oblasti  psychológie a pedopsychiatrie, vedúcim k tomu, že v jednom resocializačnom zariadení sú umiestnené deti s poruchami správania ako napríklad záškoláctvo a deti s vážnymi psychiatrickými diagnózami, ktoré by mali byť umiestnené v ústavnej starostlivosti. </w:t>
      </w:r>
      <w:r w:rsidR="00BA052A" w:rsidRPr="00AE415E">
        <w:t xml:space="preserve">Vzhľadom na skutočnosť, že expert rezortu školstva ako primárneho gestora problematiky, sa pre iné pracovné povinnosti na rokovanie rady k tomuto bodu nedostavil, bola diskusia k tomuto bodu prerušená na ďalšie zasadnutie.  </w:t>
      </w:r>
    </w:p>
    <w:p w:rsidR="00395503" w:rsidRPr="00887558" w:rsidRDefault="00395503" w:rsidP="00395503">
      <w:pPr>
        <w:jc w:val="both"/>
        <w:rPr>
          <w:rFonts w:cs="Calibri"/>
          <w:color w:val="000000"/>
          <w:sz w:val="24"/>
          <w:szCs w:val="24"/>
        </w:rPr>
      </w:pPr>
    </w:p>
    <w:p w:rsidR="00395503" w:rsidRDefault="00395503" w:rsidP="00395503">
      <w:pPr>
        <w:jc w:val="both"/>
        <w:rPr>
          <w:rFonts w:cs="Calibri"/>
          <w:b/>
          <w:color w:val="000000"/>
          <w:sz w:val="24"/>
          <w:szCs w:val="24"/>
        </w:rPr>
      </w:pPr>
      <w:r>
        <w:rPr>
          <w:rFonts w:cs="Calibri"/>
          <w:b/>
          <w:color w:val="000000"/>
          <w:sz w:val="24"/>
          <w:szCs w:val="24"/>
        </w:rPr>
        <w:t>BOD 3</w:t>
      </w:r>
    </w:p>
    <w:p w:rsidR="00395503" w:rsidRPr="00AE415E" w:rsidRDefault="00BA052A" w:rsidP="00395503">
      <w:pPr>
        <w:jc w:val="both"/>
        <w:rPr>
          <w:rFonts w:cstheme="minorHAnsi"/>
        </w:rPr>
      </w:pPr>
      <w:r w:rsidRPr="00AE415E">
        <w:rPr>
          <w:rFonts w:cstheme="minorHAnsi"/>
        </w:rPr>
        <w:t xml:space="preserve">Verejný ochranca práv Róbert Dobrovodský </w:t>
      </w:r>
      <w:r w:rsidR="00DD0965">
        <w:rPr>
          <w:rFonts w:cstheme="minorHAnsi"/>
        </w:rPr>
        <w:t>predstavil svoje stanovisko</w:t>
      </w:r>
      <w:r w:rsidR="00820640">
        <w:rPr>
          <w:rFonts w:cstheme="minorHAnsi"/>
        </w:rPr>
        <w:t xml:space="preserve"> </w:t>
      </w:r>
      <w:r w:rsidR="00820640" w:rsidRPr="00AE415E">
        <w:t>k dodržiavaniu práva pacientov a</w:t>
      </w:r>
      <w:r w:rsidR="00820640">
        <w:t> </w:t>
      </w:r>
      <w:r w:rsidR="00820640" w:rsidRPr="00AE415E">
        <w:t>poistencov</w:t>
      </w:r>
      <w:r w:rsidR="00820640">
        <w:t xml:space="preserve"> v rozhodovacej činnosti Všeobecnej zdravotnej poisťovne</w:t>
      </w:r>
      <w:r w:rsidR="00DD0965">
        <w:rPr>
          <w:rFonts w:cstheme="minorHAnsi"/>
        </w:rPr>
        <w:t xml:space="preserve"> a </w:t>
      </w:r>
      <w:r w:rsidR="00476002">
        <w:rPr>
          <w:rFonts w:cstheme="minorHAnsi"/>
        </w:rPr>
        <w:t>uviedol prípady z praxe</w:t>
      </w:r>
      <w:r w:rsidRPr="00AE415E">
        <w:rPr>
          <w:rFonts w:cstheme="minorHAnsi"/>
        </w:rPr>
        <w:t xml:space="preserve">, </w:t>
      </w:r>
      <w:r w:rsidR="00476002">
        <w:rPr>
          <w:rFonts w:cstheme="minorHAnsi"/>
        </w:rPr>
        <w:t>ke</w:t>
      </w:r>
      <w:r w:rsidR="00DD0965">
        <w:rPr>
          <w:rFonts w:cstheme="minorHAnsi"/>
        </w:rPr>
        <w:t>ď</w:t>
      </w:r>
      <w:r w:rsidRPr="00AE415E">
        <w:rPr>
          <w:rFonts w:cstheme="minorHAnsi"/>
        </w:rPr>
        <w:t xml:space="preserve"> pri zamietnutí financovan</w:t>
      </w:r>
      <w:r w:rsidR="00476002">
        <w:rPr>
          <w:rFonts w:cstheme="minorHAnsi"/>
        </w:rPr>
        <w:t>ia liečby rozhodnutím Všeobecnej zdravotnej poisťovne</w:t>
      </w:r>
      <w:r w:rsidR="00820640">
        <w:rPr>
          <w:rFonts w:cstheme="minorHAnsi"/>
        </w:rPr>
        <w:t xml:space="preserve"> </w:t>
      </w:r>
      <w:r w:rsidRPr="00AE415E">
        <w:rPr>
          <w:rFonts w:cstheme="minorHAnsi"/>
        </w:rPr>
        <w:t xml:space="preserve">občanom príde list s absenciou podrobnejšieho odôvodnenia </w:t>
      </w:r>
      <w:r w:rsidR="0003219E" w:rsidRPr="00AE415E">
        <w:rPr>
          <w:rFonts w:cstheme="minorHAnsi"/>
        </w:rPr>
        <w:t xml:space="preserve">rozhodnutia. Požiadal preto </w:t>
      </w:r>
      <w:r w:rsidR="00EA743C">
        <w:rPr>
          <w:rFonts w:cstheme="minorHAnsi"/>
        </w:rPr>
        <w:t>M</w:t>
      </w:r>
      <w:r w:rsidR="0003219E" w:rsidRPr="00AE415E">
        <w:rPr>
          <w:rFonts w:cstheme="minorHAnsi"/>
        </w:rPr>
        <w:t>inisterstvo zdravotníctva</w:t>
      </w:r>
      <w:r w:rsidR="00EA743C">
        <w:rPr>
          <w:rFonts w:cstheme="minorHAnsi"/>
        </w:rPr>
        <w:t xml:space="preserve"> SR</w:t>
      </w:r>
      <w:r w:rsidR="00790C47" w:rsidRPr="00AE415E">
        <w:rPr>
          <w:rFonts w:cstheme="minorHAnsi"/>
        </w:rPr>
        <w:t>,</w:t>
      </w:r>
      <w:r w:rsidR="0003219E" w:rsidRPr="00AE415E">
        <w:rPr>
          <w:rFonts w:cstheme="minorHAnsi"/>
        </w:rPr>
        <w:t xml:space="preserve"> aby ap</w:t>
      </w:r>
      <w:r w:rsidR="00790C47" w:rsidRPr="00AE415E">
        <w:rPr>
          <w:rFonts w:cstheme="minorHAnsi"/>
        </w:rPr>
        <w:t>elovalo</w:t>
      </w:r>
      <w:r w:rsidR="0003219E" w:rsidRPr="00AE415E">
        <w:rPr>
          <w:rFonts w:cstheme="minorHAnsi"/>
        </w:rPr>
        <w:t xml:space="preserve"> na Všeobecnú zdravotnú poisťovňu</w:t>
      </w:r>
      <w:r w:rsidR="00790C47" w:rsidRPr="00AE415E">
        <w:rPr>
          <w:rFonts w:cstheme="minorHAnsi"/>
        </w:rPr>
        <w:t>, a. s.,</w:t>
      </w:r>
      <w:r w:rsidR="0003219E" w:rsidRPr="00AE415E">
        <w:rPr>
          <w:rFonts w:cstheme="minorHAnsi"/>
        </w:rPr>
        <w:t xml:space="preserve"> aby upravila svoje interné postupy v súlade so Správny poriadkom a Ústavou SR.</w:t>
      </w:r>
      <w:r w:rsidR="00EA743C">
        <w:rPr>
          <w:rFonts w:cstheme="minorHAnsi"/>
        </w:rPr>
        <w:t xml:space="preserve"> Zástupca M</w:t>
      </w:r>
      <w:r w:rsidR="0003219E" w:rsidRPr="00AE415E">
        <w:rPr>
          <w:rFonts w:cstheme="minorHAnsi"/>
        </w:rPr>
        <w:t>inisterstva zdravotníctva</w:t>
      </w:r>
      <w:r w:rsidR="00790C47" w:rsidRPr="00AE415E">
        <w:rPr>
          <w:rFonts w:cstheme="minorHAnsi"/>
        </w:rPr>
        <w:t xml:space="preserve"> </w:t>
      </w:r>
      <w:r w:rsidR="00EA743C">
        <w:rPr>
          <w:rFonts w:cstheme="minorHAnsi"/>
        </w:rPr>
        <w:t xml:space="preserve">SR </w:t>
      </w:r>
      <w:r w:rsidR="00790C47" w:rsidRPr="00AE415E">
        <w:rPr>
          <w:rFonts w:cstheme="minorHAnsi"/>
        </w:rPr>
        <w:t>Peter Čvapek</w:t>
      </w:r>
      <w:r w:rsidR="0003219E" w:rsidRPr="00AE415E">
        <w:rPr>
          <w:rFonts w:cstheme="minorHAnsi"/>
        </w:rPr>
        <w:t xml:space="preserve"> potvrdil, že ministerstvu záleží na tom, aby občania dostali dostatočne odôvodnenú odpoveď a uviedol, že listom ministerstvo požiada Všeobecnú zdravotnú poisťovňu</w:t>
      </w:r>
      <w:r w:rsidR="00476002">
        <w:rPr>
          <w:rFonts w:cstheme="minorHAnsi"/>
        </w:rPr>
        <w:t>, a. s.</w:t>
      </w:r>
      <w:r w:rsidR="0003219E" w:rsidRPr="00AE415E">
        <w:rPr>
          <w:rFonts w:cstheme="minorHAnsi"/>
        </w:rPr>
        <w:t xml:space="preserve"> aby dodržiavala zákonné požiadavky. </w:t>
      </w:r>
    </w:p>
    <w:p w:rsidR="00790C47" w:rsidRPr="00AE415E" w:rsidRDefault="00790C47" w:rsidP="00790C47">
      <w:pPr>
        <w:spacing w:line="240" w:lineRule="auto"/>
        <w:jc w:val="both"/>
      </w:pPr>
      <w:r w:rsidRPr="00AE415E">
        <w:rPr>
          <w:rFonts w:cstheme="minorHAnsi"/>
        </w:rPr>
        <w:t xml:space="preserve">K tretiemu bodu programu rada prijala uznesenie č. 310, ktorým vzala na vedomie Stanovisko verejného ochrancu práv </w:t>
      </w:r>
      <w:r w:rsidRPr="00AE415E">
        <w:t xml:space="preserve">k dodržiavaniu práva pacientov a poistencov na inú právnu ochranu podľa čl. 46 ods. 1 Ústavy v rozhodovacej činnosti Všeobecnej zdravotnej poisťovne, a. s. </w:t>
      </w:r>
      <w:r w:rsidRPr="00AE415E">
        <w:rPr>
          <w:rFonts w:cstheme="minorHAnsi"/>
          <w:color w:val="000000"/>
          <w:spacing w:val="2"/>
          <w:position w:val="2"/>
        </w:rPr>
        <w:t xml:space="preserve">Ďalej týmto uznesením </w:t>
      </w:r>
      <w:r w:rsidRPr="00AE415E">
        <w:rPr>
          <w:rFonts w:cstheme="minorHAnsi"/>
        </w:rPr>
        <w:t>odporučila Ministers</w:t>
      </w:r>
      <w:bookmarkStart w:id="1" w:name="_Hlk137196645"/>
      <w:r w:rsidRPr="00AE415E">
        <w:rPr>
          <w:rFonts w:cstheme="minorHAnsi"/>
        </w:rPr>
        <w:t xml:space="preserve">tvu zdravotníctva SR dbať na dodržiavanie zákonných požiadaviek rozhodovacieho procesu a zabezpečiť aby Všeobecná zdravotná poisťovňa, a. s., pri rozhodovaní o právach poistenca na základe žiadostí o úhradu </w:t>
      </w:r>
      <w:r w:rsidRPr="00AE415E">
        <w:rPr>
          <w:rFonts w:cstheme="minorHAnsi"/>
        </w:rPr>
        <w:lastRenderedPageBreak/>
        <w:t>lieku v osobitných prípadoch dbala na rešpektovanie zá</w:t>
      </w:r>
      <w:r w:rsidR="00DD0965">
        <w:rPr>
          <w:rFonts w:cstheme="minorHAnsi"/>
        </w:rPr>
        <w:t>konných</w:t>
      </w:r>
      <w:r w:rsidRPr="00AE415E">
        <w:rPr>
          <w:rFonts w:cstheme="minorHAnsi"/>
        </w:rPr>
        <w:t xml:space="preserve"> pravidiel správneho konania a princípov dobrej verejnej správy, ktorých súčasťou je aj požiadavka riadneho odôvodnenia vydávaných rozhodnutí.</w:t>
      </w:r>
      <w:bookmarkEnd w:id="1"/>
      <w:r w:rsidRPr="00AE415E">
        <w:rPr>
          <w:rFonts w:cstheme="minorHAnsi"/>
        </w:rPr>
        <w:t xml:space="preserve"> </w:t>
      </w:r>
    </w:p>
    <w:p w:rsidR="0003219E" w:rsidRPr="00AE415E" w:rsidRDefault="0003219E" w:rsidP="00395503">
      <w:pPr>
        <w:jc w:val="both"/>
        <w:rPr>
          <w:b/>
        </w:rPr>
      </w:pPr>
    </w:p>
    <w:p w:rsidR="00395503" w:rsidRDefault="00395503" w:rsidP="00395503">
      <w:pPr>
        <w:jc w:val="both"/>
        <w:rPr>
          <w:b/>
          <w:sz w:val="24"/>
          <w:szCs w:val="24"/>
        </w:rPr>
      </w:pPr>
      <w:r>
        <w:rPr>
          <w:b/>
          <w:sz w:val="24"/>
          <w:szCs w:val="24"/>
        </w:rPr>
        <w:t>BOD 4</w:t>
      </w:r>
    </w:p>
    <w:p w:rsidR="001979FB" w:rsidRPr="00AE415E" w:rsidRDefault="001979FB" w:rsidP="001979FB">
      <w:pPr>
        <w:spacing w:line="240" w:lineRule="auto"/>
        <w:jc w:val="both"/>
      </w:pPr>
      <w:r w:rsidRPr="00AE415E">
        <w:t>O pravidelnej bienálnej správe</w:t>
      </w:r>
      <w:r w:rsidR="00DD0965">
        <w:t xml:space="preserve"> </w:t>
      </w:r>
      <w:r w:rsidR="00DD0965" w:rsidRPr="00AE415E">
        <w:t>Výboru pre národnostné menšiny a etnické skupiny o podpore kultúry národnostných menšín, o stave národnostného školstva a o používaní jazykov národnostných menšín</w:t>
      </w:r>
      <w:r w:rsidRPr="00AE415E">
        <w:t xml:space="preserve"> informoval splnomocnenec vlády SR pre národnostné menšiny. Experti rady odporučili</w:t>
      </w:r>
      <w:r w:rsidR="00DD0965">
        <w:t>,</w:t>
      </w:r>
      <w:r w:rsidRPr="00AE415E">
        <w:t xml:space="preserve"> aby správa v budúcnosti obsahovala časť so všeobecným zhrnutím a prípadne aj odporúčaniami. Rada v tomto bode prijala uznesenie č. 311, ktorým hodnotiacu správu schválila.</w:t>
      </w:r>
    </w:p>
    <w:p w:rsidR="00395503" w:rsidRPr="007669C8" w:rsidRDefault="00395503" w:rsidP="00395503">
      <w:pPr>
        <w:jc w:val="both"/>
        <w:rPr>
          <w:b/>
          <w:sz w:val="24"/>
          <w:szCs w:val="24"/>
        </w:rPr>
      </w:pPr>
    </w:p>
    <w:p w:rsidR="00395503" w:rsidRDefault="00395503" w:rsidP="00395503">
      <w:pPr>
        <w:jc w:val="both"/>
        <w:rPr>
          <w:rFonts w:cs="Calibri"/>
          <w:b/>
          <w:color w:val="000000"/>
          <w:sz w:val="24"/>
          <w:szCs w:val="24"/>
        </w:rPr>
      </w:pPr>
      <w:r>
        <w:rPr>
          <w:rFonts w:cs="Calibri"/>
          <w:b/>
          <w:color w:val="000000"/>
          <w:sz w:val="24"/>
          <w:szCs w:val="24"/>
        </w:rPr>
        <w:t>BOD 5</w:t>
      </w:r>
    </w:p>
    <w:p w:rsidR="00DD0965" w:rsidRDefault="00100D63" w:rsidP="00100D63">
      <w:pPr>
        <w:pStyle w:val="Vlada"/>
        <w:spacing w:before="0"/>
        <w:jc w:val="both"/>
        <w:rPr>
          <w:rFonts w:asciiTheme="minorHAnsi" w:hAnsiTheme="minorHAnsi" w:cstheme="minorHAnsi"/>
          <w:b w:val="0"/>
          <w:sz w:val="22"/>
          <w:szCs w:val="22"/>
        </w:rPr>
      </w:pPr>
      <w:r w:rsidRPr="00AE415E">
        <w:rPr>
          <w:rFonts w:asciiTheme="minorHAnsi" w:hAnsiTheme="minorHAnsi" w:cstheme="minorHAnsi"/>
          <w:b w:val="0"/>
          <w:sz w:val="22"/>
          <w:szCs w:val="22"/>
        </w:rPr>
        <w:t xml:space="preserve">Bod </w:t>
      </w:r>
      <w:r w:rsidR="00DD0965">
        <w:rPr>
          <w:rFonts w:asciiTheme="minorHAnsi" w:hAnsiTheme="minorHAnsi" w:cstheme="minorHAnsi"/>
          <w:b w:val="0"/>
          <w:sz w:val="22"/>
          <w:szCs w:val="22"/>
        </w:rPr>
        <w:t>k u</w:t>
      </w:r>
      <w:r w:rsidR="00DD0965" w:rsidRPr="00DD0965">
        <w:rPr>
          <w:rFonts w:asciiTheme="minorHAnsi" w:hAnsiTheme="minorHAnsi" w:cstheme="minorHAnsi"/>
          <w:b w:val="0"/>
          <w:sz w:val="22"/>
          <w:szCs w:val="22"/>
        </w:rPr>
        <w:t>zneseni</w:t>
      </w:r>
      <w:r w:rsidR="00DD0965">
        <w:rPr>
          <w:rFonts w:asciiTheme="minorHAnsi" w:hAnsiTheme="minorHAnsi" w:cstheme="minorHAnsi"/>
          <w:b w:val="0"/>
          <w:sz w:val="22"/>
          <w:szCs w:val="22"/>
        </w:rPr>
        <w:t>u</w:t>
      </w:r>
      <w:r w:rsidR="00DD0965" w:rsidRPr="00DD0965">
        <w:rPr>
          <w:rFonts w:asciiTheme="minorHAnsi" w:hAnsiTheme="minorHAnsi" w:cstheme="minorHAnsi"/>
          <w:b w:val="0"/>
          <w:sz w:val="22"/>
          <w:szCs w:val="22"/>
        </w:rPr>
        <w:t xml:space="preserve"> Výboru pre národnostné menšiny a etnické skupiny k návrhu zlúčenia Fondu na podporu umenia a Fondu na podporu kultúry národnostných menšín vyplývajúci z Plánu legislatívnych úloh vlády SR na rok 2024</w:t>
      </w:r>
      <w:r w:rsidR="00DD0965">
        <w:rPr>
          <w:rFonts w:asciiTheme="minorHAnsi" w:hAnsiTheme="minorHAnsi" w:cstheme="minorHAnsi"/>
          <w:b w:val="0"/>
          <w:sz w:val="22"/>
          <w:szCs w:val="22"/>
        </w:rPr>
        <w:t xml:space="preserve"> </w:t>
      </w:r>
      <w:r w:rsidRPr="00AE415E">
        <w:rPr>
          <w:rFonts w:asciiTheme="minorHAnsi" w:hAnsiTheme="minorHAnsi" w:cstheme="minorHAnsi"/>
          <w:b w:val="0"/>
          <w:sz w:val="22"/>
          <w:szCs w:val="22"/>
        </w:rPr>
        <w:t xml:space="preserve">uviedol splnomocnenec vlády SR pre národnostné menšiny, ktorý zároveň informoval, že sa k tejto téme aj osobne stretol s ministerkou kultúry, ktorá ho uistila, že zámer Ministerstva kultúry SR na zlúčenie Fondu na podporu umenia a Fondu na podporu kultúry národnostných menšín bol prehodnotený a k zlúčeniu týchto fondov nedôjde. Napriek tomu navrhol prijať navrhované uznesenie, čo viacerí členovia rady podporili. </w:t>
      </w:r>
    </w:p>
    <w:p w:rsidR="00100D63" w:rsidRPr="00AE415E" w:rsidRDefault="00100D63" w:rsidP="00100D63">
      <w:pPr>
        <w:pStyle w:val="Vlada"/>
        <w:spacing w:before="0"/>
        <w:jc w:val="both"/>
        <w:rPr>
          <w:rFonts w:asciiTheme="minorHAnsi" w:hAnsiTheme="minorHAnsi" w:cstheme="minorHAnsi"/>
          <w:b w:val="0"/>
          <w:sz w:val="22"/>
          <w:szCs w:val="22"/>
        </w:rPr>
      </w:pPr>
      <w:r w:rsidRPr="00AE415E">
        <w:rPr>
          <w:rFonts w:asciiTheme="minorHAnsi" w:hAnsiTheme="minorHAnsi" w:cstheme="minorHAnsi"/>
          <w:b w:val="0"/>
          <w:sz w:val="22"/>
          <w:szCs w:val="22"/>
        </w:rPr>
        <w:t>Rada prijala uznesenie č. 312, ktorým vyzýva Ministerstvo kultúry SR prehodnotiť zámer zlúčenia Fondu na podporu umenia a Fondu na podporu kultúry národnostných menšín a preformulovať úlohu z Plánu legislatívnych úloh vlády SR na rok 2024 a odporučila Ministerstvu kultúry SR prizvať zástupcov národnostných menšín k participácii na legislatívnych zmenách týkajúcich sa Fondu na podporu kultúry národnostných menšín.  </w:t>
      </w:r>
    </w:p>
    <w:p w:rsidR="00DD0965" w:rsidRDefault="00DD0965" w:rsidP="00395503">
      <w:pPr>
        <w:jc w:val="both"/>
        <w:rPr>
          <w:b/>
          <w:sz w:val="24"/>
          <w:szCs w:val="24"/>
        </w:rPr>
      </w:pPr>
    </w:p>
    <w:p w:rsidR="00395503" w:rsidRPr="009D1D9F" w:rsidRDefault="00395503" w:rsidP="00395503">
      <w:pPr>
        <w:jc w:val="both"/>
        <w:rPr>
          <w:b/>
          <w:sz w:val="24"/>
          <w:szCs w:val="24"/>
        </w:rPr>
      </w:pPr>
      <w:r w:rsidRPr="009D1D9F">
        <w:rPr>
          <w:b/>
          <w:sz w:val="24"/>
          <w:szCs w:val="24"/>
        </w:rPr>
        <w:t>BOD 6</w:t>
      </w:r>
    </w:p>
    <w:p w:rsidR="00DD0965" w:rsidRDefault="00FC6408" w:rsidP="00EA743C">
      <w:pPr>
        <w:jc w:val="both"/>
        <w:rPr>
          <w:color w:val="000000" w:themeColor="text1"/>
        </w:rPr>
      </w:pPr>
      <w:r w:rsidRPr="00B20436">
        <w:t>Informáciu o príprave štandardov</w:t>
      </w:r>
      <w:r w:rsidR="00DD0965" w:rsidRPr="00DD0965">
        <w:t xml:space="preserve"> </w:t>
      </w:r>
      <w:r w:rsidR="00DD0965" w:rsidRPr="00AE415E">
        <w:t>pre dištančné poradenstvo prostredníctvom liniek pomoci</w:t>
      </w:r>
      <w:r w:rsidRPr="00B20436">
        <w:t xml:space="preserve"> predniesla zástupkyňa Národného koordinačného strediska pre riešenie problematiky násilia na deťoch Mária Vargová. Informovala členov rady o tom, že  š</w:t>
      </w:r>
      <w:r w:rsidRPr="00B20436">
        <w:rPr>
          <w:color w:val="000000" w:themeColor="text1"/>
        </w:rPr>
        <w:t xml:space="preserve">tandardy pripravuje stredisko participatívne s občianskou spoločnosťou a štátnymi organizáciami (MPSVR, MV, MZ) a ich vytvorenie a schválenie bude prvým krokom k samostatnej legislatíve, ktorá upraví nielen činnosť liniek ale zastabilizuje ich miesto v poradenskom systéme a zabezpečí aj dlhodobé financovanie. Tieto štandardy budú prílohou dopytovo – orientovanej výzvy, ktorá je pripravovaná na marec. </w:t>
      </w:r>
    </w:p>
    <w:p w:rsidR="00FC6408" w:rsidRPr="00B20436" w:rsidRDefault="00FC6408" w:rsidP="00EA743C">
      <w:pPr>
        <w:jc w:val="both"/>
      </w:pPr>
      <w:r w:rsidRPr="00B20436">
        <w:t xml:space="preserve">Rada prijala k tomuto bodu uznesenie č. 313, ktorým vzala informáciu o príprave štandardov na vedomie. </w:t>
      </w:r>
    </w:p>
    <w:p w:rsidR="00395503" w:rsidRPr="009D1D9F" w:rsidRDefault="00395503" w:rsidP="00395503">
      <w:pPr>
        <w:spacing w:after="0" w:line="107" w:lineRule="atLeast"/>
        <w:jc w:val="both"/>
        <w:rPr>
          <w:sz w:val="24"/>
          <w:szCs w:val="24"/>
        </w:rPr>
      </w:pPr>
    </w:p>
    <w:p w:rsidR="00395503" w:rsidRDefault="00395503" w:rsidP="00395503">
      <w:pPr>
        <w:jc w:val="both"/>
        <w:rPr>
          <w:rFonts w:cs="Calibri"/>
          <w:b/>
          <w:color w:val="000000"/>
          <w:sz w:val="24"/>
          <w:szCs w:val="24"/>
        </w:rPr>
      </w:pPr>
      <w:r w:rsidRPr="009D1D9F">
        <w:rPr>
          <w:rFonts w:cs="Calibri"/>
          <w:b/>
          <w:color w:val="000000"/>
          <w:sz w:val="24"/>
          <w:szCs w:val="24"/>
        </w:rPr>
        <w:lastRenderedPageBreak/>
        <w:t>BOD 7</w:t>
      </w:r>
    </w:p>
    <w:p w:rsidR="00FC6408" w:rsidRPr="00B20436" w:rsidRDefault="00FC6408" w:rsidP="00AE415E">
      <w:pPr>
        <w:spacing w:line="240" w:lineRule="auto"/>
        <w:jc w:val="both"/>
      </w:pPr>
      <w:r w:rsidRPr="00B20436">
        <w:t xml:space="preserve">V bode „rôzne“ predniesol tajomník rady stručnú informáciu Ministerstva práce, sociálnych vecí a rodiny SR k prijatiu Národnej koncepcii prevencie a ukončovania bezdomovectva. Informoval, že vláda SR koncepciu prijala a na jej základe je aktuálne na rezorte práce tvorený akčný plán. Ministerstvo má ambíciu </w:t>
      </w:r>
      <w:r w:rsidR="00335D54">
        <w:t>tento materiál v najbližšej dob</w:t>
      </w:r>
      <w:r w:rsidRPr="00B20436">
        <w:t xml:space="preserve">e predložiť na medzirezortné pripomienkové konanie. </w:t>
      </w:r>
    </w:p>
    <w:p w:rsidR="00B20436" w:rsidRPr="00AE415E" w:rsidRDefault="00FC6408" w:rsidP="00AE415E">
      <w:pPr>
        <w:jc w:val="both"/>
        <w:rPr>
          <w:rFonts w:cs="Calibri"/>
          <w:color w:val="000000"/>
        </w:rPr>
      </w:pPr>
      <w:r w:rsidRPr="00B20436">
        <w:rPr>
          <w:rFonts w:cs="Calibri"/>
          <w:color w:val="000000"/>
        </w:rPr>
        <w:t>T</w:t>
      </w:r>
      <w:r w:rsidR="00B20436">
        <w:rPr>
          <w:rFonts w:cs="Calibri"/>
          <w:color w:val="000000"/>
        </w:rPr>
        <w:t>a</w:t>
      </w:r>
      <w:r w:rsidRPr="00B20436">
        <w:rPr>
          <w:rFonts w:cs="Calibri"/>
          <w:color w:val="000000"/>
        </w:rPr>
        <w:t xml:space="preserve">jomník rady tiež informoval o návšteve Európskeho výboru </w:t>
      </w:r>
      <w:r w:rsidR="00B20436">
        <w:rPr>
          <w:rFonts w:cs="Calibri"/>
          <w:color w:val="000000"/>
        </w:rPr>
        <w:t>na zabránenie mučeniu a neľudskému, či ponižujúcemu zaobchádzaniu alebo trestaniu.</w:t>
      </w:r>
      <w:r w:rsidRPr="00B20436">
        <w:rPr>
          <w:rFonts w:cs="Calibri"/>
          <w:color w:val="000000"/>
        </w:rPr>
        <w:t xml:space="preserve"> </w:t>
      </w:r>
      <w:r w:rsidR="00B20436">
        <w:rPr>
          <w:rFonts w:cs="Calibri"/>
          <w:color w:val="000000"/>
        </w:rPr>
        <w:t>V</w:t>
      </w:r>
      <w:r w:rsidRPr="00B20436">
        <w:rPr>
          <w:rFonts w:cs="Calibri"/>
          <w:color w:val="000000"/>
        </w:rPr>
        <w:t xml:space="preserve">ýbor sa na Slovensku zdržal týždeň, navštívil viaceré krajské riaditeľstvá a oddelenia, okresné oddelenia </w:t>
      </w:r>
      <w:r w:rsidR="00DD0965">
        <w:rPr>
          <w:rFonts w:cs="Calibri"/>
          <w:color w:val="000000"/>
        </w:rPr>
        <w:t>P</w:t>
      </w:r>
      <w:r w:rsidRPr="00B20436">
        <w:rPr>
          <w:rFonts w:cs="Calibri"/>
          <w:color w:val="000000"/>
        </w:rPr>
        <w:t xml:space="preserve">olicajného zboru, oddelenie cudzineckej polície, </w:t>
      </w:r>
      <w:r w:rsidR="00B20436">
        <w:rPr>
          <w:rFonts w:cs="Calibri"/>
          <w:color w:val="000000"/>
        </w:rPr>
        <w:t xml:space="preserve">navštívil </w:t>
      </w:r>
      <w:r w:rsidR="00B20436" w:rsidRPr="00B20436">
        <w:rPr>
          <w:rFonts w:cs="Calibri"/>
          <w:color w:val="000000"/>
        </w:rPr>
        <w:t xml:space="preserve">štyri </w:t>
      </w:r>
      <w:r w:rsidRPr="00B20436">
        <w:rPr>
          <w:rFonts w:cs="Calibri"/>
          <w:color w:val="000000"/>
        </w:rPr>
        <w:t>ústavy na výkon trestu odňatia slobody. Navštívil zariadenie pre cudzincov v Medveďove, dve psychiatrické oddelenia nemoc</w:t>
      </w:r>
      <w:r w:rsidR="00B20436">
        <w:rPr>
          <w:rFonts w:cs="Calibri"/>
          <w:color w:val="000000"/>
        </w:rPr>
        <w:t>níc a Detenčný ústav Hronovce. Ministerstvo spravodlivosti</w:t>
      </w:r>
      <w:r w:rsidR="00EA743C">
        <w:rPr>
          <w:rFonts w:cs="Calibri"/>
          <w:color w:val="000000"/>
        </w:rPr>
        <w:t xml:space="preserve"> SR</w:t>
      </w:r>
      <w:r w:rsidR="00B20436">
        <w:rPr>
          <w:rFonts w:cs="Calibri"/>
          <w:color w:val="000000"/>
        </w:rPr>
        <w:t xml:space="preserve"> </w:t>
      </w:r>
      <w:r w:rsidRPr="00B20436">
        <w:rPr>
          <w:rFonts w:cs="Calibri"/>
          <w:color w:val="000000"/>
        </w:rPr>
        <w:t>zatiaľ v rámci záverečného st</w:t>
      </w:r>
      <w:r w:rsidR="00B20436">
        <w:rPr>
          <w:rFonts w:cs="Calibri"/>
          <w:color w:val="000000"/>
        </w:rPr>
        <w:t>retnutia s členmi výboru dostalo</w:t>
      </w:r>
      <w:r w:rsidRPr="00B20436">
        <w:rPr>
          <w:rFonts w:cs="Calibri"/>
          <w:color w:val="000000"/>
        </w:rPr>
        <w:t xml:space="preserve"> informáciu</w:t>
      </w:r>
      <w:r w:rsidR="00B20436">
        <w:rPr>
          <w:rFonts w:cs="Calibri"/>
          <w:color w:val="000000"/>
        </w:rPr>
        <w:t xml:space="preserve"> o najzávažnejších zisteniach</w:t>
      </w:r>
      <w:r w:rsidRPr="00B20436">
        <w:rPr>
          <w:rFonts w:cs="Calibri"/>
          <w:color w:val="000000"/>
        </w:rPr>
        <w:t xml:space="preserve">, avšak v tejto fáze je ešte komunikácia s výborom dôverná, </w:t>
      </w:r>
      <w:r w:rsidR="00B20436">
        <w:rPr>
          <w:rFonts w:cs="Calibri"/>
          <w:color w:val="000000"/>
        </w:rPr>
        <w:t>a preto bude ministerstvo</w:t>
      </w:r>
      <w:r w:rsidRPr="00B20436">
        <w:rPr>
          <w:rFonts w:cs="Calibri"/>
          <w:color w:val="000000"/>
        </w:rPr>
        <w:t xml:space="preserve"> radu informovať o jednotlivých odporúčaniach, </w:t>
      </w:r>
      <w:r w:rsidR="00B20436">
        <w:rPr>
          <w:rFonts w:cs="Calibri"/>
          <w:color w:val="000000"/>
        </w:rPr>
        <w:t xml:space="preserve">v čase </w:t>
      </w:r>
      <w:r w:rsidRPr="00B20436">
        <w:rPr>
          <w:rFonts w:cs="Calibri"/>
          <w:color w:val="000000"/>
        </w:rPr>
        <w:t xml:space="preserve">keď bude zverejnená správa z tejto návštevy, čo sa predpokladá v júli </w:t>
      </w:r>
      <w:r w:rsidR="00B20436">
        <w:rPr>
          <w:rFonts w:cs="Calibri"/>
          <w:color w:val="000000"/>
        </w:rPr>
        <w:t>roka 2024.</w:t>
      </w:r>
    </w:p>
    <w:p w:rsidR="004D48A5" w:rsidRDefault="00AE415E" w:rsidP="00EA743C">
      <w:pPr>
        <w:spacing w:line="240" w:lineRule="auto"/>
        <w:jc w:val="both"/>
        <w:rPr>
          <w:rFonts w:cs="Calibri"/>
          <w:color w:val="000000"/>
        </w:rPr>
      </w:pPr>
      <w:r w:rsidRPr="00395503">
        <w:t>Informáci</w:t>
      </w:r>
      <w:r>
        <w:t>u</w:t>
      </w:r>
      <w:r w:rsidRPr="00395503">
        <w:t xml:space="preserve"> o plnení implementačnej povinnosti SR vo vzťahu ku kontrolným a monitorovacím orgánom OSN a Rady Európy, ktoré sú v kompetencií MZVEZ SR – časový harmonogram na r. 2024</w:t>
      </w:r>
      <w:r w:rsidR="00EA743C">
        <w:t xml:space="preserve"> predniesla zástupkyňa M</w:t>
      </w:r>
      <w:r>
        <w:t>inisterstva zahraničných vecí</w:t>
      </w:r>
      <w:r w:rsidR="00EA743C">
        <w:t xml:space="preserve"> a európskych záležitostí SR</w:t>
      </w:r>
      <w:r>
        <w:t xml:space="preserve"> Barbara Illková. </w:t>
      </w:r>
      <w:r w:rsidR="00EE7DA0">
        <w:t>I</w:t>
      </w:r>
      <w:r w:rsidR="00894262">
        <w:t>nformovala</w:t>
      </w:r>
      <w:r w:rsidR="00EE7DA0">
        <w:t xml:space="preserve"> členov rady</w:t>
      </w:r>
      <w:r w:rsidR="00894262">
        <w:t xml:space="preserve"> o plánovanej monitorovacej návšteve výboru Rady Európy na Slovensku, ktorá sa podľa predpokladov uskutoční v druhej polovici roku 2024, na ktorej príprave by mali dotknuté rezorty úzko spolupracovať. </w:t>
      </w:r>
      <w:r w:rsidR="00EE7DA0">
        <w:t xml:space="preserve">Zároveň </w:t>
      </w:r>
      <w:r w:rsidR="00335D54">
        <w:t>bude Slovenská republika</w:t>
      </w:r>
      <w:r w:rsidR="00EE7DA0">
        <w:t xml:space="preserve"> 6. mája 2024 predmetom hodnotenia v rámci mechanizmu U</w:t>
      </w:r>
      <w:r w:rsidR="007859A3">
        <w:t>niverzálneho periodického hodnotenia Radou OSN pre ľudské práva v Ženeve. Ministerstvo zahraničných vecí plánuje</w:t>
      </w:r>
      <w:r w:rsidR="00335D54">
        <w:t xml:space="preserve"> v najbližšej dobe</w:t>
      </w:r>
      <w:r w:rsidR="007859A3">
        <w:t xml:space="preserve"> v súvislosti </w:t>
      </w:r>
      <w:r w:rsidR="009F21F3">
        <w:t xml:space="preserve">s prípravou na hodnotenie osloviť vecne príslušné rezorty a inštitúcie. Následne informovala o tom, že </w:t>
      </w:r>
      <w:r w:rsidR="00335D54">
        <w:t>v druhej polovici roka 2024 bude Slovenská republika</w:t>
      </w:r>
      <w:r w:rsidR="009F21F3">
        <w:t xml:space="preserve"> predkladať</w:t>
      </w:r>
      <w:r w:rsidR="00335D54">
        <w:t xml:space="preserve"> OSN periodickú správu</w:t>
      </w:r>
      <w:r w:rsidR="009F21F3">
        <w:t xml:space="preserve"> o implementácií Medzinárodného paktu o hospodárskych</w:t>
      </w:r>
      <w:r w:rsidR="00335D54">
        <w:rPr>
          <w:rFonts w:cs="Calibri"/>
          <w:color w:val="000000"/>
        </w:rPr>
        <w:t>, sociálnych a kultúrnych právach</w:t>
      </w:r>
      <w:r w:rsidR="00335D54" w:rsidRPr="00335D54">
        <w:rPr>
          <w:rFonts w:cs="Calibri"/>
          <w:color w:val="000000"/>
        </w:rPr>
        <w:t xml:space="preserve"> </w:t>
      </w:r>
      <w:r w:rsidR="00335D54">
        <w:rPr>
          <w:rFonts w:cs="Calibri"/>
          <w:color w:val="000000"/>
        </w:rPr>
        <w:t>a následne periodickú správu Slovenskej republiky o implementácii medzinárodného paktu o občianskych a politických právach.</w:t>
      </w:r>
    </w:p>
    <w:p w:rsidR="00DD0965" w:rsidRDefault="00DD0965" w:rsidP="00EA743C">
      <w:pPr>
        <w:spacing w:line="240" w:lineRule="auto"/>
        <w:jc w:val="both"/>
        <w:rPr>
          <w:rFonts w:cs="Calibri"/>
          <w:color w:val="000000"/>
        </w:rPr>
      </w:pPr>
    </w:p>
    <w:p w:rsidR="00DD0965" w:rsidRDefault="00DD0965" w:rsidP="00EA743C">
      <w:pPr>
        <w:spacing w:line="240" w:lineRule="auto"/>
        <w:jc w:val="both"/>
        <w:rPr>
          <w:rFonts w:cs="Calibri"/>
          <w:color w:val="000000"/>
        </w:rPr>
      </w:pPr>
    </w:p>
    <w:p w:rsidR="00DD0965" w:rsidRDefault="00DD0965" w:rsidP="00EA743C">
      <w:pPr>
        <w:spacing w:line="240" w:lineRule="auto"/>
        <w:jc w:val="both"/>
        <w:rPr>
          <w:rFonts w:cs="Calibri"/>
          <w:color w:val="000000"/>
        </w:rPr>
      </w:pPr>
    </w:p>
    <w:p w:rsidR="00DD0965" w:rsidRDefault="00DD0965" w:rsidP="00EA743C">
      <w:pPr>
        <w:spacing w:line="240" w:lineRule="auto"/>
        <w:jc w:val="both"/>
        <w:rPr>
          <w:rFonts w:cs="Calibri"/>
          <w:color w:val="000000"/>
        </w:rPr>
      </w:pPr>
    </w:p>
    <w:p w:rsidR="00DD0965" w:rsidRDefault="00DD0965" w:rsidP="00EA743C">
      <w:pPr>
        <w:spacing w:line="240" w:lineRule="auto"/>
        <w:jc w:val="both"/>
        <w:rPr>
          <w:rFonts w:cs="Calibri"/>
          <w:color w:val="000000"/>
        </w:rPr>
      </w:pPr>
    </w:p>
    <w:p w:rsidR="00DD0965" w:rsidRDefault="00DD0965" w:rsidP="00EA743C">
      <w:pPr>
        <w:spacing w:line="240" w:lineRule="auto"/>
        <w:jc w:val="both"/>
        <w:rPr>
          <w:rFonts w:cs="Calibri"/>
          <w:color w:val="000000"/>
        </w:rPr>
      </w:pPr>
    </w:p>
    <w:p w:rsidR="00DD0965" w:rsidRDefault="00DD0965" w:rsidP="00EA743C">
      <w:pPr>
        <w:spacing w:line="240" w:lineRule="auto"/>
        <w:jc w:val="both"/>
        <w:rPr>
          <w:rFonts w:cs="Calibri"/>
          <w:color w:val="000000"/>
        </w:rPr>
      </w:pPr>
    </w:p>
    <w:p w:rsidR="00DD0965" w:rsidRDefault="00DD0965" w:rsidP="00EA743C">
      <w:pPr>
        <w:spacing w:line="240" w:lineRule="auto"/>
        <w:jc w:val="both"/>
        <w:rPr>
          <w:rFonts w:cs="Calibri"/>
          <w:color w:val="000000"/>
        </w:rPr>
      </w:pPr>
    </w:p>
    <w:p w:rsidR="00DD0965" w:rsidRDefault="00DD0965" w:rsidP="00EA743C">
      <w:pPr>
        <w:spacing w:line="240" w:lineRule="auto"/>
        <w:jc w:val="both"/>
        <w:rPr>
          <w:rFonts w:cs="Calibri"/>
          <w:color w:val="000000"/>
        </w:rPr>
      </w:pPr>
    </w:p>
    <w:p w:rsidR="00DD0965" w:rsidRDefault="00DD0965" w:rsidP="00EA743C">
      <w:pPr>
        <w:spacing w:line="240" w:lineRule="auto"/>
        <w:jc w:val="both"/>
        <w:rPr>
          <w:rFonts w:cs="Calibri"/>
          <w:color w:val="000000"/>
        </w:rPr>
      </w:pPr>
    </w:p>
    <w:p w:rsidR="00DD0965" w:rsidRDefault="00DD0965" w:rsidP="00EA743C">
      <w:pPr>
        <w:spacing w:line="240" w:lineRule="auto"/>
        <w:jc w:val="both"/>
        <w:rPr>
          <w:rFonts w:cs="Calibri"/>
          <w:color w:val="000000"/>
        </w:rPr>
      </w:pPr>
    </w:p>
    <w:p w:rsidR="00DD0965" w:rsidRDefault="00DD0965" w:rsidP="00EA743C">
      <w:pPr>
        <w:spacing w:line="240" w:lineRule="auto"/>
        <w:jc w:val="both"/>
        <w:rPr>
          <w:rFonts w:cs="Calibri"/>
          <w:color w:val="000000"/>
        </w:rPr>
      </w:pPr>
    </w:p>
    <w:p w:rsidR="00DD0965" w:rsidRDefault="00DD0965" w:rsidP="00EA743C">
      <w:pPr>
        <w:spacing w:line="240" w:lineRule="auto"/>
        <w:jc w:val="both"/>
        <w:rPr>
          <w:rFonts w:cs="Calibri"/>
          <w:color w:val="000000"/>
        </w:rPr>
      </w:pPr>
    </w:p>
    <w:p w:rsidR="00DD0965" w:rsidRDefault="00DD0965" w:rsidP="00EA743C">
      <w:pPr>
        <w:spacing w:line="240" w:lineRule="auto"/>
        <w:jc w:val="both"/>
        <w:rPr>
          <w:rFonts w:cs="Calibri"/>
          <w:color w:val="000000"/>
        </w:rPr>
      </w:pPr>
    </w:p>
    <w:p w:rsidR="00DD0965" w:rsidRDefault="00DD0965" w:rsidP="00EA743C">
      <w:pPr>
        <w:spacing w:line="240" w:lineRule="auto"/>
        <w:jc w:val="both"/>
        <w:rPr>
          <w:rFonts w:cs="Calibri"/>
          <w:color w:val="000000"/>
        </w:rPr>
      </w:pPr>
    </w:p>
    <w:p w:rsidR="00DD0965" w:rsidRDefault="00DD0965" w:rsidP="00EA743C">
      <w:pPr>
        <w:spacing w:line="240" w:lineRule="auto"/>
        <w:jc w:val="both"/>
        <w:rPr>
          <w:rFonts w:cs="Calibri"/>
          <w:color w:val="000000"/>
        </w:rPr>
      </w:pPr>
    </w:p>
    <w:p w:rsidR="00DD0965" w:rsidRDefault="00DD0965" w:rsidP="00EA743C">
      <w:pPr>
        <w:spacing w:line="240" w:lineRule="auto"/>
        <w:jc w:val="both"/>
        <w:rPr>
          <w:rFonts w:cs="Calibri"/>
          <w:color w:val="000000"/>
        </w:rPr>
      </w:pPr>
    </w:p>
    <w:p w:rsidR="00DD0965" w:rsidRDefault="00DD0965" w:rsidP="00EA743C">
      <w:pPr>
        <w:spacing w:line="240" w:lineRule="auto"/>
        <w:jc w:val="both"/>
        <w:rPr>
          <w:rFonts w:cs="Calibri"/>
          <w:color w:val="000000"/>
        </w:rPr>
      </w:pPr>
    </w:p>
    <w:p w:rsidR="00DD0965" w:rsidRDefault="00DD0965" w:rsidP="00EA743C">
      <w:pPr>
        <w:spacing w:line="240" w:lineRule="auto"/>
        <w:jc w:val="both"/>
        <w:rPr>
          <w:rFonts w:cs="Calibri"/>
          <w:color w:val="000000"/>
        </w:rPr>
      </w:pPr>
    </w:p>
    <w:p w:rsidR="00DD0965" w:rsidRDefault="00DD0965" w:rsidP="00EA743C">
      <w:pPr>
        <w:spacing w:line="240" w:lineRule="auto"/>
        <w:jc w:val="both"/>
        <w:rPr>
          <w:rFonts w:cs="Calibri"/>
          <w:color w:val="000000"/>
        </w:rPr>
      </w:pPr>
    </w:p>
    <w:p w:rsidR="00DD0965" w:rsidRDefault="00DD0965" w:rsidP="00EA743C">
      <w:pPr>
        <w:spacing w:line="240" w:lineRule="auto"/>
        <w:jc w:val="both"/>
        <w:rPr>
          <w:rFonts w:cs="Calibri"/>
          <w:color w:val="000000"/>
        </w:rPr>
      </w:pPr>
    </w:p>
    <w:p w:rsidR="00DD0965" w:rsidRDefault="00DD0965" w:rsidP="00EA743C">
      <w:pPr>
        <w:spacing w:line="240" w:lineRule="auto"/>
        <w:jc w:val="both"/>
        <w:rPr>
          <w:rFonts w:cs="Calibri"/>
          <w:color w:val="000000"/>
        </w:rPr>
      </w:pPr>
    </w:p>
    <w:p w:rsidR="00DD0965" w:rsidRDefault="00DD0965" w:rsidP="00EA743C">
      <w:pPr>
        <w:spacing w:line="240" w:lineRule="auto"/>
        <w:jc w:val="both"/>
        <w:rPr>
          <w:rFonts w:cs="Calibri"/>
          <w:color w:val="000000"/>
        </w:rPr>
      </w:pPr>
    </w:p>
    <w:p w:rsidR="00DD0965" w:rsidRDefault="00DD0965" w:rsidP="00EA743C">
      <w:pPr>
        <w:spacing w:line="240" w:lineRule="auto"/>
        <w:jc w:val="both"/>
        <w:rPr>
          <w:rFonts w:cs="Calibri"/>
          <w:color w:val="000000"/>
        </w:rPr>
      </w:pPr>
    </w:p>
    <w:p w:rsidR="00DD0965" w:rsidRDefault="00DD0965" w:rsidP="00EA743C">
      <w:pPr>
        <w:spacing w:line="240" w:lineRule="auto"/>
        <w:jc w:val="both"/>
        <w:rPr>
          <w:rFonts w:cs="Calibri"/>
          <w:color w:val="000000"/>
        </w:rPr>
      </w:pPr>
    </w:p>
    <w:p w:rsidR="00DD0965" w:rsidRDefault="00DD0965" w:rsidP="00EA743C">
      <w:pPr>
        <w:spacing w:line="240" w:lineRule="auto"/>
        <w:jc w:val="both"/>
        <w:rPr>
          <w:rFonts w:cs="Calibri"/>
          <w:color w:val="000000"/>
        </w:rPr>
      </w:pPr>
    </w:p>
    <w:p w:rsidR="00DD0965" w:rsidRDefault="00DD0965" w:rsidP="00EA743C">
      <w:pPr>
        <w:spacing w:line="240" w:lineRule="auto"/>
        <w:jc w:val="both"/>
        <w:rPr>
          <w:rFonts w:cs="Calibri"/>
          <w:color w:val="000000"/>
        </w:rPr>
      </w:pPr>
    </w:p>
    <w:p w:rsidR="00DD0965" w:rsidRDefault="00DD0965" w:rsidP="00EA743C">
      <w:pPr>
        <w:spacing w:line="240" w:lineRule="auto"/>
        <w:jc w:val="both"/>
        <w:rPr>
          <w:rFonts w:cs="Calibri"/>
          <w:color w:val="000000"/>
        </w:rPr>
      </w:pPr>
    </w:p>
    <w:p w:rsidR="00DD0965" w:rsidRDefault="00DD0965" w:rsidP="00EA743C">
      <w:pPr>
        <w:spacing w:line="240" w:lineRule="auto"/>
        <w:jc w:val="both"/>
      </w:pPr>
    </w:p>
    <w:p w:rsidR="004D48A5" w:rsidRDefault="004D48A5" w:rsidP="004D48A5">
      <w:pPr>
        <w:pStyle w:val="Zakladnystyl"/>
        <w:jc w:val="center"/>
      </w:pPr>
      <w:r w:rsidRPr="00AD3523">
        <w:object w:dxaOrig="48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63pt" o:ole="">
            <v:imagedata r:id="rId7" o:title=""/>
          </v:shape>
          <o:OLEObject Type="Embed" ProgID="Word.Picture.8" ShapeID="_x0000_i1025" DrawAspect="Content" ObjectID="_1769857181" r:id="rId8"/>
        </w:object>
      </w:r>
    </w:p>
    <w:p w:rsidR="004D48A5" w:rsidRPr="00EE2AD8" w:rsidRDefault="004D48A5" w:rsidP="004D48A5">
      <w:pPr>
        <w:pStyle w:val="Zakladnystyl"/>
        <w:jc w:val="center"/>
      </w:pPr>
    </w:p>
    <w:p w:rsidR="004D48A5" w:rsidRPr="00EE2AD8" w:rsidRDefault="004D48A5" w:rsidP="004D48A5">
      <w:pPr>
        <w:pStyle w:val="Zakladnystyl"/>
        <w:tabs>
          <w:tab w:val="center" w:pos="4536"/>
        </w:tabs>
        <w:rPr>
          <w:i/>
          <w:sz w:val="28"/>
          <w:szCs w:val="28"/>
        </w:rPr>
      </w:pPr>
      <w:r w:rsidRPr="00EE2AD8">
        <w:rPr>
          <w:i/>
          <w:sz w:val="28"/>
          <w:szCs w:val="28"/>
        </w:rPr>
        <w:br w:type="textWrapping" w:clear="all"/>
      </w:r>
    </w:p>
    <w:p w:rsidR="004D48A5" w:rsidRDefault="004D48A5" w:rsidP="004D48A5">
      <w:pPr>
        <w:pStyle w:val="Zakladnystyl"/>
        <w:jc w:val="center"/>
        <w:rPr>
          <w:b/>
          <w:sz w:val="28"/>
          <w:szCs w:val="28"/>
        </w:rPr>
      </w:pPr>
      <w:r w:rsidRPr="007C0B11">
        <w:rPr>
          <w:b/>
          <w:sz w:val="28"/>
          <w:szCs w:val="28"/>
        </w:rPr>
        <w:t>UZNESENIE RADY VLÁDY SR PRE ĽUDSKÉ PRÁVA, NÁRODNOSTNÉ MENŠINY A RODOVÚ ROVNOSŤ</w:t>
      </w:r>
    </w:p>
    <w:p w:rsidR="004D48A5" w:rsidRPr="007C0B11" w:rsidRDefault="004D48A5" w:rsidP="004D48A5">
      <w:pPr>
        <w:pStyle w:val="Zakladnystyl"/>
        <w:jc w:val="center"/>
        <w:rPr>
          <w:b/>
          <w:sz w:val="28"/>
          <w:szCs w:val="28"/>
        </w:rPr>
      </w:pPr>
    </w:p>
    <w:p w:rsidR="004D48A5" w:rsidRPr="007C0B11" w:rsidRDefault="004D48A5" w:rsidP="004D48A5">
      <w:pPr>
        <w:pStyle w:val="Zakladnystyl"/>
        <w:jc w:val="center"/>
        <w:rPr>
          <w:b/>
          <w:bCs/>
          <w:sz w:val="28"/>
          <w:szCs w:val="28"/>
        </w:rPr>
      </w:pPr>
      <w:r>
        <w:rPr>
          <w:b/>
          <w:bCs/>
          <w:sz w:val="28"/>
          <w:szCs w:val="28"/>
        </w:rPr>
        <w:t>č. 309</w:t>
      </w:r>
    </w:p>
    <w:p w:rsidR="004D48A5" w:rsidRPr="007C0B11" w:rsidRDefault="004D48A5" w:rsidP="004D48A5">
      <w:pPr>
        <w:pStyle w:val="Zakladnystyl"/>
        <w:jc w:val="center"/>
        <w:rPr>
          <w:sz w:val="28"/>
          <w:szCs w:val="28"/>
        </w:rPr>
      </w:pPr>
    </w:p>
    <w:p w:rsidR="004D48A5" w:rsidRPr="007C0B11" w:rsidRDefault="004D48A5" w:rsidP="004D48A5">
      <w:pPr>
        <w:pStyle w:val="Zakladnystyl"/>
        <w:jc w:val="center"/>
        <w:rPr>
          <w:sz w:val="28"/>
          <w:szCs w:val="28"/>
        </w:rPr>
      </w:pPr>
      <w:r>
        <w:rPr>
          <w:sz w:val="28"/>
          <w:szCs w:val="28"/>
        </w:rPr>
        <w:t>z 29. januára 2024</w:t>
      </w:r>
    </w:p>
    <w:p w:rsidR="004D48A5" w:rsidRPr="007C0B11" w:rsidRDefault="004D48A5" w:rsidP="004D48A5">
      <w:pPr>
        <w:pStyle w:val="Zakladnystyl"/>
        <w:tabs>
          <w:tab w:val="left" w:pos="3765"/>
        </w:tabs>
        <w:rPr>
          <w:sz w:val="28"/>
          <w:szCs w:val="28"/>
        </w:rPr>
      </w:pPr>
      <w:r w:rsidRPr="007C0B11">
        <w:rPr>
          <w:sz w:val="28"/>
          <w:szCs w:val="28"/>
        </w:rPr>
        <w:tab/>
      </w:r>
    </w:p>
    <w:p w:rsidR="004D48A5" w:rsidRDefault="004D48A5" w:rsidP="004D48A5">
      <w:pPr>
        <w:pStyle w:val="Zakladnystyl"/>
        <w:tabs>
          <w:tab w:val="left" w:pos="3765"/>
        </w:tabs>
        <w:jc w:val="center"/>
        <w:rPr>
          <w:b/>
          <w:bCs/>
          <w:sz w:val="28"/>
          <w:szCs w:val="28"/>
        </w:rPr>
      </w:pPr>
      <w:r w:rsidRPr="007C0B11">
        <w:rPr>
          <w:b/>
          <w:bCs/>
          <w:sz w:val="28"/>
          <w:szCs w:val="28"/>
        </w:rPr>
        <w:t>k Informácii o zasadnutiach výborov a o plnení uznesení rady</w:t>
      </w:r>
    </w:p>
    <w:p w:rsidR="004D48A5" w:rsidRPr="00AD3523" w:rsidRDefault="004D48A5" w:rsidP="004D48A5">
      <w:pPr>
        <w:pStyle w:val="Vlada"/>
        <w:pBdr>
          <w:bottom w:val="single" w:sz="4" w:space="1" w:color="auto"/>
        </w:pBdr>
        <w:spacing w:before="0"/>
        <w:ind w:left="720"/>
        <w:rPr>
          <w:b w:val="0"/>
          <w:sz w:val="24"/>
          <w:szCs w:val="24"/>
        </w:rPr>
      </w:pPr>
    </w:p>
    <w:p w:rsidR="004D48A5" w:rsidRPr="00AD3523" w:rsidRDefault="004D48A5" w:rsidP="004D48A5">
      <w:pPr>
        <w:pStyle w:val="Vlada"/>
        <w:rPr>
          <w:sz w:val="28"/>
          <w:szCs w:val="28"/>
        </w:rPr>
      </w:pPr>
      <w:r w:rsidRPr="00AD3523">
        <w:rPr>
          <w:sz w:val="28"/>
          <w:szCs w:val="28"/>
        </w:rPr>
        <w:t xml:space="preserve">Rada vlády Slovenskej republiky pre ľudské práva, národnostné menšiny a rodovú rovnosť </w:t>
      </w:r>
    </w:p>
    <w:p w:rsidR="004D48A5" w:rsidRPr="007C0B11" w:rsidRDefault="004D48A5" w:rsidP="004D48A5">
      <w:pPr>
        <w:pStyle w:val="Vlada"/>
        <w:rPr>
          <w:sz w:val="28"/>
          <w:szCs w:val="28"/>
        </w:rPr>
      </w:pPr>
      <w:r>
        <w:rPr>
          <w:sz w:val="28"/>
          <w:szCs w:val="28"/>
        </w:rPr>
        <w:t xml:space="preserve">A. </w:t>
      </w:r>
      <w:r w:rsidRPr="007C0B11">
        <w:rPr>
          <w:sz w:val="28"/>
          <w:szCs w:val="28"/>
        </w:rPr>
        <w:t>berie na vedomie</w:t>
      </w:r>
    </w:p>
    <w:p w:rsidR="004D48A5" w:rsidRDefault="004D48A5" w:rsidP="004D48A5">
      <w:pPr>
        <w:pStyle w:val="Vlada"/>
        <w:spacing w:before="0"/>
        <w:ind w:left="1560" w:hanging="709"/>
        <w:jc w:val="both"/>
        <w:rPr>
          <w:b w:val="0"/>
          <w:sz w:val="24"/>
          <w:szCs w:val="28"/>
        </w:rPr>
      </w:pPr>
      <w:r w:rsidRPr="007C0B11">
        <w:rPr>
          <w:b w:val="0"/>
          <w:sz w:val="24"/>
          <w:szCs w:val="28"/>
        </w:rPr>
        <w:t>A.1</w:t>
      </w:r>
      <w:r w:rsidRPr="007C0B11">
        <w:rPr>
          <w:b w:val="0"/>
          <w:sz w:val="24"/>
          <w:szCs w:val="28"/>
        </w:rPr>
        <w:tab/>
        <w:t>Informáciu o zasadnutiach výborov a o plnení uznesení rady.</w:t>
      </w:r>
    </w:p>
    <w:p w:rsidR="004D48A5" w:rsidRDefault="004D48A5" w:rsidP="004D48A5">
      <w:pPr>
        <w:pStyle w:val="Vlada"/>
        <w:spacing w:before="0"/>
        <w:ind w:left="1560" w:hanging="709"/>
        <w:jc w:val="both"/>
        <w:rPr>
          <w:b w:val="0"/>
          <w:sz w:val="24"/>
          <w:szCs w:val="28"/>
        </w:rPr>
      </w:pPr>
    </w:p>
    <w:p w:rsidR="004D48A5" w:rsidRDefault="004D48A5" w:rsidP="004D48A5">
      <w:pPr>
        <w:pStyle w:val="Vlada"/>
        <w:spacing w:before="0"/>
        <w:ind w:left="1560" w:hanging="709"/>
        <w:jc w:val="both"/>
        <w:rPr>
          <w:b w:val="0"/>
          <w:sz w:val="24"/>
          <w:szCs w:val="28"/>
        </w:rPr>
      </w:pPr>
    </w:p>
    <w:p w:rsidR="004D48A5" w:rsidRDefault="004D48A5" w:rsidP="004D48A5">
      <w:pPr>
        <w:pStyle w:val="Vlada"/>
        <w:spacing w:before="0"/>
        <w:ind w:left="1560" w:hanging="709"/>
        <w:jc w:val="both"/>
        <w:rPr>
          <w:b w:val="0"/>
          <w:sz w:val="24"/>
          <w:szCs w:val="28"/>
        </w:rPr>
      </w:pPr>
    </w:p>
    <w:p w:rsidR="004D48A5" w:rsidRDefault="004D48A5" w:rsidP="004D48A5">
      <w:pPr>
        <w:tabs>
          <w:tab w:val="left" w:pos="4020"/>
        </w:tabs>
      </w:pPr>
    </w:p>
    <w:p w:rsidR="004D48A5" w:rsidRDefault="004D48A5" w:rsidP="004D48A5">
      <w:pPr>
        <w:tabs>
          <w:tab w:val="left" w:pos="4020"/>
        </w:tabs>
      </w:pPr>
    </w:p>
    <w:p w:rsidR="004D48A5" w:rsidRDefault="004D48A5" w:rsidP="004D48A5">
      <w:pPr>
        <w:tabs>
          <w:tab w:val="left" w:pos="4020"/>
        </w:tabs>
      </w:pPr>
    </w:p>
    <w:p w:rsidR="004D48A5" w:rsidRDefault="004D48A5" w:rsidP="004D48A5">
      <w:pPr>
        <w:tabs>
          <w:tab w:val="left" w:pos="4020"/>
        </w:tabs>
      </w:pPr>
    </w:p>
    <w:p w:rsidR="004D48A5" w:rsidRDefault="004D48A5" w:rsidP="004D48A5">
      <w:pPr>
        <w:tabs>
          <w:tab w:val="left" w:pos="4020"/>
        </w:tabs>
      </w:pPr>
    </w:p>
    <w:p w:rsidR="004D48A5" w:rsidRDefault="004D48A5" w:rsidP="004D48A5">
      <w:pPr>
        <w:tabs>
          <w:tab w:val="left" w:pos="4020"/>
        </w:tabs>
      </w:pPr>
    </w:p>
    <w:p w:rsidR="004D48A5" w:rsidRDefault="004D48A5" w:rsidP="004D48A5">
      <w:pPr>
        <w:tabs>
          <w:tab w:val="left" w:pos="4020"/>
        </w:tabs>
      </w:pPr>
    </w:p>
    <w:p w:rsidR="004D48A5" w:rsidRDefault="004D48A5" w:rsidP="004D48A5">
      <w:pPr>
        <w:tabs>
          <w:tab w:val="left" w:pos="4020"/>
        </w:tabs>
      </w:pPr>
    </w:p>
    <w:p w:rsidR="004D48A5" w:rsidRDefault="004D48A5" w:rsidP="004D48A5">
      <w:pPr>
        <w:tabs>
          <w:tab w:val="left" w:pos="4020"/>
        </w:tabs>
      </w:pPr>
    </w:p>
    <w:p w:rsidR="004D48A5" w:rsidRDefault="004D48A5" w:rsidP="004D48A5">
      <w:pPr>
        <w:tabs>
          <w:tab w:val="left" w:pos="4020"/>
        </w:tabs>
      </w:pPr>
    </w:p>
    <w:p w:rsidR="004D48A5" w:rsidRDefault="004D48A5" w:rsidP="004D48A5">
      <w:pPr>
        <w:tabs>
          <w:tab w:val="left" w:pos="4020"/>
        </w:tabs>
      </w:pPr>
    </w:p>
    <w:p w:rsidR="004D48A5" w:rsidRPr="000A3342" w:rsidRDefault="004D48A5" w:rsidP="004D48A5">
      <w:pPr>
        <w:pStyle w:val="Zakladnystyl"/>
        <w:jc w:val="center"/>
        <w:rPr>
          <w:b/>
          <w:sz w:val="28"/>
          <w:szCs w:val="28"/>
        </w:rPr>
      </w:pPr>
      <w:r w:rsidRPr="00AD3523">
        <w:object w:dxaOrig="480" w:dyaOrig="580">
          <v:shape id="_x0000_i1026" type="#_x0000_t75" style="width:57.75pt;height:63pt" o:ole="">
            <v:imagedata r:id="rId7" o:title=""/>
          </v:shape>
          <o:OLEObject Type="Embed" ProgID="Word.Picture.8" ShapeID="_x0000_i1026" DrawAspect="Content" ObjectID="_1769857182" r:id="rId9"/>
        </w:object>
      </w:r>
    </w:p>
    <w:p w:rsidR="004D48A5" w:rsidRPr="00AD3523" w:rsidRDefault="004D48A5" w:rsidP="004D48A5">
      <w:pPr>
        <w:pStyle w:val="Zakladnystyl"/>
        <w:jc w:val="center"/>
        <w:rPr>
          <w:sz w:val="28"/>
          <w:szCs w:val="28"/>
        </w:rPr>
      </w:pPr>
    </w:p>
    <w:p w:rsidR="004D48A5" w:rsidRPr="00AD3523" w:rsidRDefault="004D48A5" w:rsidP="004D48A5">
      <w:pPr>
        <w:pStyle w:val="Zakladnystyl"/>
        <w:jc w:val="center"/>
        <w:rPr>
          <w:b/>
          <w:sz w:val="28"/>
          <w:szCs w:val="28"/>
        </w:rPr>
      </w:pPr>
      <w:r w:rsidRPr="00AD3523">
        <w:rPr>
          <w:b/>
          <w:sz w:val="28"/>
          <w:szCs w:val="28"/>
        </w:rPr>
        <w:t>UZNESENIE RADY VLÁDY SLOVENSKEJ REPUBLIKY</w:t>
      </w:r>
      <w:r w:rsidRPr="00AD3523">
        <w:rPr>
          <w:b/>
          <w:sz w:val="28"/>
          <w:szCs w:val="28"/>
        </w:rPr>
        <w:br/>
        <w:t xml:space="preserve"> PRE ĽUDSKÉ PRÁVA, NÁRODNOSTNÉ MENŠINY A RODOVÚ ROVNOSŤ</w:t>
      </w:r>
    </w:p>
    <w:p w:rsidR="004D48A5" w:rsidRPr="00AD3523" w:rsidRDefault="004D48A5" w:rsidP="004D48A5">
      <w:pPr>
        <w:tabs>
          <w:tab w:val="center" w:pos="4536"/>
          <w:tab w:val="right" w:pos="9072"/>
        </w:tabs>
        <w:jc w:val="center"/>
        <w:rPr>
          <w:caps/>
        </w:rPr>
      </w:pPr>
    </w:p>
    <w:p w:rsidR="004D48A5" w:rsidRPr="00AD3523" w:rsidRDefault="004D48A5" w:rsidP="004D48A5">
      <w:pPr>
        <w:pStyle w:val="Zakladnystyl"/>
        <w:ind w:left="3540" w:firstLine="708"/>
        <w:rPr>
          <w:b/>
          <w:bCs/>
          <w:sz w:val="28"/>
          <w:szCs w:val="28"/>
        </w:rPr>
      </w:pPr>
      <w:r>
        <w:rPr>
          <w:b/>
          <w:bCs/>
          <w:sz w:val="28"/>
          <w:szCs w:val="28"/>
        </w:rPr>
        <w:t>č. 310</w:t>
      </w:r>
      <w:r w:rsidRPr="00AD3523">
        <w:rPr>
          <w:b/>
          <w:bCs/>
          <w:sz w:val="28"/>
          <w:szCs w:val="28"/>
        </w:rPr>
        <w:t xml:space="preserve">       </w:t>
      </w:r>
    </w:p>
    <w:p w:rsidR="004D48A5" w:rsidRPr="00AD3523" w:rsidRDefault="004D48A5" w:rsidP="004D48A5">
      <w:pPr>
        <w:pStyle w:val="Zakladnystyl"/>
        <w:jc w:val="center"/>
        <w:rPr>
          <w:sz w:val="28"/>
          <w:szCs w:val="28"/>
        </w:rPr>
      </w:pPr>
    </w:p>
    <w:p w:rsidR="004D48A5" w:rsidRPr="00AD3523" w:rsidRDefault="004D48A5" w:rsidP="004D48A5">
      <w:pPr>
        <w:pStyle w:val="Zakladnystyl"/>
        <w:jc w:val="center"/>
        <w:rPr>
          <w:sz w:val="28"/>
          <w:szCs w:val="28"/>
        </w:rPr>
      </w:pPr>
      <w:r w:rsidRPr="00AD3523">
        <w:rPr>
          <w:sz w:val="28"/>
          <w:szCs w:val="28"/>
        </w:rPr>
        <w:t>z 29. januára 2024</w:t>
      </w:r>
    </w:p>
    <w:p w:rsidR="004D48A5" w:rsidRPr="00AD3523" w:rsidRDefault="004D48A5" w:rsidP="004D48A5">
      <w:pPr>
        <w:pStyle w:val="Zakladnystyl"/>
        <w:tabs>
          <w:tab w:val="left" w:pos="3765"/>
        </w:tabs>
        <w:rPr>
          <w:sz w:val="28"/>
          <w:szCs w:val="28"/>
        </w:rPr>
      </w:pPr>
      <w:r w:rsidRPr="00AD3523">
        <w:rPr>
          <w:sz w:val="28"/>
          <w:szCs w:val="28"/>
        </w:rPr>
        <w:tab/>
      </w:r>
      <w:r w:rsidRPr="00AD3523">
        <w:rPr>
          <w:sz w:val="28"/>
          <w:szCs w:val="28"/>
        </w:rPr>
        <w:tab/>
      </w:r>
    </w:p>
    <w:p w:rsidR="004D48A5" w:rsidRPr="006429A9" w:rsidRDefault="004D48A5" w:rsidP="004D48A5">
      <w:pPr>
        <w:pStyle w:val="Zakladnystyl"/>
        <w:tabs>
          <w:tab w:val="left" w:pos="3765"/>
        </w:tabs>
        <w:jc w:val="center"/>
        <w:rPr>
          <w:b/>
          <w:sz w:val="28"/>
          <w:szCs w:val="28"/>
        </w:rPr>
      </w:pPr>
      <w:r w:rsidRPr="006429A9">
        <w:rPr>
          <w:b/>
          <w:bCs/>
          <w:sz w:val="28"/>
          <w:szCs w:val="28"/>
        </w:rPr>
        <w:lastRenderedPageBreak/>
        <w:t xml:space="preserve">    k</w:t>
      </w:r>
      <w:r w:rsidRPr="006429A9">
        <w:rPr>
          <w:b/>
          <w:sz w:val="28"/>
          <w:szCs w:val="28"/>
        </w:rPr>
        <w:t> </w:t>
      </w:r>
      <w:r w:rsidRPr="00AD3523">
        <w:rPr>
          <w:b/>
          <w:bCs/>
          <w:sz w:val="28"/>
          <w:szCs w:val="28"/>
        </w:rPr>
        <w:t xml:space="preserve">Stanovisku verejného ochrancu práv </w:t>
      </w:r>
      <w:bookmarkStart w:id="2" w:name="_Hlk154383170"/>
      <w:r w:rsidRPr="00AD3523">
        <w:rPr>
          <w:b/>
          <w:bCs/>
          <w:sz w:val="28"/>
          <w:szCs w:val="28"/>
        </w:rPr>
        <w:t xml:space="preserve">k dodržiavania práva pacientov a poistencov na inú právnu ochranu podľa čl. 46 ods. 1 Ústavy v rozhodovacej činnosti Všeobecnej zdravotnej poisťovne, a. s. </w:t>
      </w:r>
      <w:bookmarkEnd w:id="2"/>
      <w:r w:rsidRPr="00AD3523">
        <w:rPr>
          <w:b/>
          <w:bCs/>
          <w:sz w:val="28"/>
          <w:szCs w:val="28"/>
        </w:rPr>
        <w:t xml:space="preserve">dňa </w:t>
      </w:r>
      <w:r w:rsidRPr="00AD3523">
        <w:rPr>
          <w:b/>
          <w:bCs/>
          <w:sz w:val="28"/>
          <w:szCs w:val="28"/>
        </w:rPr>
        <w:br/>
        <w:t>1</w:t>
      </w:r>
      <w:r>
        <w:rPr>
          <w:b/>
          <w:bCs/>
          <w:sz w:val="28"/>
          <w:szCs w:val="28"/>
        </w:rPr>
        <w:t>5</w:t>
      </w:r>
      <w:r w:rsidRPr="00AD3523">
        <w:rPr>
          <w:b/>
          <w:bCs/>
          <w:sz w:val="28"/>
          <w:szCs w:val="28"/>
        </w:rPr>
        <w:t>. januára 2024</w:t>
      </w:r>
      <w:r w:rsidRPr="00AD3523">
        <w:rPr>
          <w:b/>
          <w:bCs/>
          <w:sz w:val="28"/>
          <w:szCs w:val="28"/>
        </w:rPr>
        <w:br/>
      </w:r>
    </w:p>
    <w:p w:rsidR="004D48A5" w:rsidRPr="00AD3523" w:rsidRDefault="004D48A5" w:rsidP="004D48A5">
      <w:pPr>
        <w:pStyle w:val="Vlada"/>
        <w:pBdr>
          <w:bottom w:val="single" w:sz="4" w:space="1" w:color="auto"/>
        </w:pBdr>
        <w:spacing w:before="0"/>
        <w:ind w:left="720"/>
        <w:rPr>
          <w:b w:val="0"/>
          <w:sz w:val="24"/>
          <w:szCs w:val="24"/>
        </w:rPr>
      </w:pPr>
    </w:p>
    <w:p w:rsidR="004D48A5" w:rsidRPr="006429A9" w:rsidRDefault="004D48A5" w:rsidP="004D48A5">
      <w:pPr>
        <w:pStyle w:val="Vlada"/>
        <w:rPr>
          <w:sz w:val="28"/>
          <w:szCs w:val="28"/>
        </w:rPr>
      </w:pPr>
      <w:r w:rsidRPr="00AD3523">
        <w:rPr>
          <w:sz w:val="28"/>
          <w:szCs w:val="28"/>
        </w:rPr>
        <w:t xml:space="preserve">Rada vlády Slovenskej republiky pre ľudské práva, národnostné menšiny a rodovú rovnosť </w:t>
      </w:r>
    </w:p>
    <w:p w:rsidR="004D48A5" w:rsidRPr="00AD3523" w:rsidRDefault="004D48A5" w:rsidP="004D48A5">
      <w:pPr>
        <w:pStyle w:val="Vlada"/>
        <w:numPr>
          <w:ilvl w:val="0"/>
          <w:numId w:val="3"/>
        </w:numPr>
        <w:rPr>
          <w:sz w:val="28"/>
          <w:szCs w:val="28"/>
        </w:rPr>
      </w:pPr>
      <w:r w:rsidRPr="00AD3523">
        <w:rPr>
          <w:sz w:val="28"/>
          <w:szCs w:val="28"/>
        </w:rPr>
        <w:t>berie na vedomie</w:t>
      </w:r>
    </w:p>
    <w:p w:rsidR="004D48A5" w:rsidRPr="00AD3523" w:rsidRDefault="004D48A5" w:rsidP="004D48A5">
      <w:pPr>
        <w:pStyle w:val="Vlada"/>
        <w:ind w:left="1560" w:hanging="709"/>
        <w:jc w:val="both"/>
        <w:rPr>
          <w:b w:val="0"/>
          <w:sz w:val="24"/>
          <w:szCs w:val="28"/>
        </w:rPr>
      </w:pPr>
      <w:r w:rsidRPr="00AD3523">
        <w:rPr>
          <w:b w:val="0"/>
          <w:sz w:val="24"/>
          <w:szCs w:val="28"/>
        </w:rPr>
        <w:t>A.1</w:t>
      </w:r>
      <w:r w:rsidRPr="00AD3523">
        <w:rPr>
          <w:b w:val="0"/>
          <w:sz w:val="24"/>
          <w:szCs w:val="28"/>
        </w:rPr>
        <w:tab/>
        <w:t>Stanovisko verejného ochrancu práv k dodržiavaniu práva pacientov a poistencov na inú právnu ochranu podľa čl. 46 ods. 1 Ústavy Slovenskej republiky v rozhodovacej činnosti Všeobecnej zdravotnej poisťovne, a. s., zo dňa 1</w:t>
      </w:r>
      <w:r>
        <w:rPr>
          <w:b w:val="0"/>
          <w:sz w:val="24"/>
          <w:szCs w:val="28"/>
        </w:rPr>
        <w:t>5</w:t>
      </w:r>
      <w:r w:rsidRPr="00AD3523">
        <w:rPr>
          <w:b w:val="0"/>
          <w:sz w:val="24"/>
          <w:szCs w:val="28"/>
        </w:rPr>
        <w:t>. januára 2024</w:t>
      </w:r>
    </w:p>
    <w:p w:rsidR="004D48A5" w:rsidRPr="00AD3523" w:rsidRDefault="004D48A5" w:rsidP="004D48A5">
      <w:pPr>
        <w:pStyle w:val="Vlada"/>
        <w:ind w:left="1560" w:hanging="709"/>
        <w:jc w:val="both"/>
        <w:rPr>
          <w:b w:val="0"/>
          <w:sz w:val="24"/>
          <w:szCs w:val="28"/>
        </w:rPr>
      </w:pPr>
    </w:p>
    <w:p w:rsidR="004D48A5" w:rsidRPr="00AD3523" w:rsidRDefault="004D48A5" w:rsidP="004D48A5">
      <w:pPr>
        <w:pStyle w:val="Vlada"/>
        <w:numPr>
          <w:ilvl w:val="0"/>
          <w:numId w:val="3"/>
        </w:numPr>
        <w:spacing w:before="0"/>
        <w:rPr>
          <w:sz w:val="28"/>
          <w:szCs w:val="28"/>
        </w:rPr>
      </w:pPr>
      <w:r w:rsidRPr="00AD3523">
        <w:rPr>
          <w:sz w:val="28"/>
          <w:szCs w:val="28"/>
        </w:rPr>
        <w:t xml:space="preserve">odporúča </w:t>
      </w:r>
    </w:p>
    <w:p w:rsidR="004D48A5" w:rsidRPr="00AD3523" w:rsidRDefault="004D48A5" w:rsidP="004D48A5">
      <w:pPr>
        <w:pStyle w:val="Vlada"/>
        <w:ind w:left="1560" w:hanging="709"/>
        <w:jc w:val="both"/>
        <w:rPr>
          <w:b w:val="0"/>
          <w:sz w:val="24"/>
          <w:szCs w:val="28"/>
        </w:rPr>
      </w:pPr>
      <w:r w:rsidRPr="00AD3523">
        <w:rPr>
          <w:b w:val="0"/>
          <w:sz w:val="24"/>
          <w:szCs w:val="28"/>
        </w:rPr>
        <w:t>B.1</w:t>
      </w:r>
      <w:r w:rsidRPr="00AD3523">
        <w:rPr>
          <w:b w:val="0"/>
          <w:sz w:val="24"/>
          <w:szCs w:val="28"/>
        </w:rPr>
        <w:tab/>
        <w:t xml:space="preserve">Ministerstvu zdravotníctva Slovenskej republiky, </w:t>
      </w:r>
    </w:p>
    <w:p w:rsidR="004D48A5" w:rsidRPr="00AD3523" w:rsidRDefault="004D48A5" w:rsidP="004D48A5">
      <w:pPr>
        <w:pStyle w:val="Vlada"/>
        <w:ind w:left="1560" w:hanging="709"/>
        <w:jc w:val="both"/>
        <w:rPr>
          <w:b w:val="0"/>
          <w:sz w:val="24"/>
          <w:szCs w:val="28"/>
        </w:rPr>
      </w:pPr>
      <w:r w:rsidRPr="00AD3523">
        <w:rPr>
          <w:b w:val="0"/>
          <w:sz w:val="24"/>
          <w:szCs w:val="28"/>
        </w:rPr>
        <w:t>a.</w:t>
      </w:r>
      <w:r w:rsidRPr="00AD3523">
        <w:rPr>
          <w:b w:val="0"/>
          <w:sz w:val="24"/>
          <w:szCs w:val="28"/>
        </w:rPr>
        <w:tab/>
        <w:t xml:space="preserve">prostredníctvom svojich oprávnení akcionára zabezpečiť, aby Všeobecná zdravotná poisťovňa, a. s., pri rozhodovaní o právach </w:t>
      </w:r>
      <w:r>
        <w:rPr>
          <w:b w:val="0"/>
          <w:sz w:val="24"/>
          <w:szCs w:val="28"/>
        </w:rPr>
        <w:t xml:space="preserve">poistenca dbala na dodržiavanie </w:t>
      </w:r>
      <w:r w:rsidRPr="000A3342">
        <w:rPr>
          <w:b w:val="0"/>
          <w:color w:val="000000" w:themeColor="text1"/>
          <w:sz w:val="24"/>
          <w:szCs w:val="28"/>
        </w:rPr>
        <w:t xml:space="preserve">zákonných </w:t>
      </w:r>
      <w:r w:rsidRPr="00AD3523">
        <w:rPr>
          <w:b w:val="0"/>
          <w:sz w:val="24"/>
          <w:szCs w:val="28"/>
        </w:rPr>
        <w:t>požiadaviek rozhodovacieho procesu, nerešpektovanie ktorých môže mať za následok aj porušenie základných práv a slobôd poistencov,</w:t>
      </w:r>
    </w:p>
    <w:p w:rsidR="004D48A5" w:rsidRPr="00AD3523" w:rsidRDefault="004D48A5" w:rsidP="004D48A5">
      <w:pPr>
        <w:pStyle w:val="Vlada"/>
        <w:ind w:left="1560" w:hanging="709"/>
        <w:jc w:val="both"/>
        <w:rPr>
          <w:b w:val="0"/>
          <w:sz w:val="24"/>
          <w:szCs w:val="28"/>
        </w:rPr>
      </w:pPr>
      <w:r w:rsidRPr="00AD3523">
        <w:rPr>
          <w:b w:val="0"/>
          <w:sz w:val="24"/>
          <w:szCs w:val="28"/>
        </w:rPr>
        <w:t>b.</w:t>
      </w:r>
      <w:r w:rsidRPr="00AD3523">
        <w:rPr>
          <w:b w:val="0"/>
          <w:sz w:val="24"/>
          <w:szCs w:val="28"/>
        </w:rPr>
        <w:tab/>
        <w:t>prostredníctvom svojich oprávnení akcionára zabezpečiť, aby Všeobecná zdravotná poisťovňa, a. s., pri rozhodovaní o právach poistenca na základe žiadostí o úhradu lieku v osobitných prípadoch</w:t>
      </w:r>
      <w:r w:rsidRPr="00AD3523">
        <w:rPr>
          <w:rStyle w:val="Odkaznapoznmkupodiarou"/>
          <w:b w:val="0"/>
          <w:sz w:val="24"/>
          <w:szCs w:val="28"/>
        </w:rPr>
        <w:footnoteReference w:id="1"/>
      </w:r>
      <w:r w:rsidRPr="00AD3523">
        <w:rPr>
          <w:b w:val="0"/>
          <w:sz w:val="24"/>
          <w:szCs w:val="28"/>
        </w:rPr>
        <w:t xml:space="preserve"> dbala na rešpektovanie základných pravidiel správneho konania a princípov dobrej verejnej správy, ktorých súčasťou je aj požiadavka riadneho odôvodnenia vydávaných rozhodnutí.</w:t>
      </w:r>
    </w:p>
    <w:p w:rsidR="004D48A5" w:rsidRPr="00AD3523" w:rsidRDefault="004D48A5" w:rsidP="004D48A5">
      <w:pPr>
        <w:pStyle w:val="Vlada"/>
        <w:spacing w:before="0"/>
        <w:jc w:val="both"/>
        <w:rPr>
          <w:b w:val="0"/>
          <w:i/>
          <w:sz w:val="24"/>
          <w:szCs w:val="24"/>
        </w:rPr>
      </w:pPr>
    </w:p>
    <w:p w:rsidR="004D48A5" w:rsidRPr="007C0B11" w:rsidRDefault="004D48A5" w:rsidP="004D48A5">
      <w:pPr>
        <w:pStyle w:val="Vlada"/>
        <w:jc w:val="both"/>
        <w:rPr>
          <w:b w:val="0"/>
          <w:i/>
          <w:sz w:val="24"/>
          <w:szCs w:val="24"/>
        </w:rPr>
      </w:pPr>
      <w:r w:rsidRPr="00AD3523">
        <w:rPr>
          <w:b w:val="0"/>
          <w:i/>
          <w:sz w:val="24"/>
          <w:szCs w:val="24"/>
        </w:rPr>
        <w:lastRenderedPageBreak/>
        <w:t xml:space="preserve">Príloha: </w:t>
      </w:r>
      <w:r>
        <w:rPr>
          <w:b w:val="0"/>
          <w:i/>
          <w:sz w:val="24"/>
          <w:szCs w:val="24"/>
        </w:rPr>
        <w:t>Z</w:t>
      </w:r>
      <w:r w:rsidRPr="00AD3523">
        <w:rPr>
          <w:b w:val="0"/>
          <w:i/>
          <w:sz w:val="24"/>
          <w:szCs w:val="24"/>
        </w:rPr>
        <w:t>nenie stanoviska</w:t>
      </w:r>
      <w:r>
        <w:rPr>
          <w:b w:val="0"/>
          <w:i/>
          <w:sz w:val="24"/>
          <w:szCs w:val="24"/>
        </w:rPr>
        <w:t xml:space="preserve"> </w:t>
      </w:r>
      <w:r w:rsidRPr="00AD3523">
        <w:rPr>
          <w:b w:val="0"/>
          <w:i/>
          <w:sz w:val="24"/>
          <w:szCs w:val="24"/>
        </w:rPr>
        <w:t xml:space="preserve">verejného ochrancu práv k dodržiavania práva pacientov a poistencov na inú právnu ochranu podľa čl. 46 ods. 1 </w:t>
      </w:r>
      <w:r>
        <w:rPr>
          <w:b w:val="0"/>
          <w:i/>
          <w:sz w:val="24"/>
          <w:szCs w:val="24"/>
        </w:rPr>
        <w:t>ú</w:t>
      </w:r>
      <w:r w:rsidRPr="00AD3523">
        <w:rPr>
          <w:b w:val="0"/>
          <w:i/>
          <w:sz w:val="24"/>
          <w:szCs w:val="24"/>
        </w:rPr>
        <w:t>stavy v rozhodovacej činnosti Všeobecnej zdravotnej poisťovne, a. s. dňa</w:t>
      </w:r>
      <w:r>
        <w:rPr>
          <w:b w:val="0"/>
          <w:i/>
          <w:sz w:val="24"/>
          <w:szCs w:val="24"/>
        </w:rPr>
        <w:t xml:space="preserve"> </w:t>
      </w:r>
      <w:r w:rsidRPr="00AD3523">
        <w:rPr>
          <w:b w:val="0"/>
          <w:i/>
          <w:sz w:val="24"/>
          <w:szCs w:val="24"/>
        </w:rPr>
        <w:t>15. januára 2024</w:t>
      </w:r>
      <w:r>
        <w:rPr>
          <w:b w:val="0"/>
          <w:i/>
          <w:sz w:val="24"/>
          <w:szCs w:val="24"/>
        </w:rPr>
        <w:t xml:space="preserve">. </w:t>
      </w:r>
    </w:p>
    <w:p w:rsidR="004D48A5" w:rsidRPr="007C0B11" w:rsidRDefault="004D48A5" w:rsidP="004D48A5">
      <w:pPr>
        <w:pStyle w:val="Vlada"/>
        <w:spacing w:before="0"/>
        <w:jc w:val="both"/>
        <w:rPr>
          <w:b w:val="0"/>
          <w:i/>
          <w:sz w:val="24"/>
          <w:szCs w:val="24"/>
        </w:rPr>
      </w:pPr>
    </w:p>
    <w:p w:rsidR="004D48A5" w:rsidRDefault="004D48A5" w:rsidP="004D48A5"/>
    <w:p w:rsidR="004D48A5" w:rsidRDefault="004D48A5" w:rsidP="004D48A5"/>
    <w:p w:rsidR="004D48A5" w:rsidRDefault="004D48A5" w:rsidP="004D48A5"/>
    <w:p w:rsidR="004D48A5" w:rsidRDefault="004D48A5" w:rsidP="004D48A5"/>
    <w:p w:rsidR="004D48A5" w:rsidRDefault="004D48A5" w:rsidP="004D48A5"/>
    <w:p w:rsidR="004D48A5" w:rsidRDefault="004D48A5" w:rsidP="004D48A5"/>
    <w:p w:rsidR="004D48A5" w:rsidRDefault="004D48A5" w:rsidP="004D48A5"/>
    <w:p w:rsidR="004D48A5" w:rsidRPr="008316AB" w:rsidRDefault="004D48A5" w:rsidP="004D48A5"/>
    <w:p w:rsidR="004D48A5" w:rsidRDefault="004D48A5" w:rsidP="004D48A5">
      <w:pPr>
        <w:rPr>
          <w:b/>
          <w:sz w:val="28"/>
          <w:szCs w:val="28"/>
          <w:u w:val="single"/>
        </w:rPr>
      </w:pPr>
    </w:p>
    <w:p w:rsidR="004D48A5" w:rsidRDefault="004D48A5" w:rsidP="004D48A5">
      <w:pPr>
        <w:rPr>
          <w:b/>
          <w:sz w:val="28"/>
          <w:szCs w:val="28"/>
          <w:u w:val="single"/>
        </w:rPr>
      </w:pPr>
    </w:p>
    <w:p w:rsidR="004D48A5" w:rsidRDefault="004D48A5" w:rsidP="004D48A5">
      <w:pPr>
        <w:rPr>
          <w:b/>
          <w:sz w:val="28"/>
          <w:szCs w:val="28"/>
          <w:u w:val="single"/>
        </w:rPr>
      </w:pPr>
      <w:r>
        <w:rPr>
          <w:b/>
          <w:sz w:val="28"/>
          <w:szCs w:val="28"/>
          <w:u w:val="single"/>
        </w:rPr>
        <w:br w:type="page"/>
      </w:r>
    </w:p>
    <w:p w:rsidR="004D48A5" w:rsidRPr="00BA51FB" w:rsidRDefault="004D48A5" w:rsidP="004D48A5">
      <w:pPr>
        <w:pStyle w:val="Zakladnystyl"/>
        <w:tabs>
          <w:tab w:val="left" w:pos="3765"/>
        </w:tabs>
        <w:spacing w:line="276" w:lineRule="auto"/>
        <w:jc w:val="center"/>
        <w:rPr>
          <w:rFonts w:ascii="Interkvop Text" w:hAnsi="Interkvop Text"/>
          <w:b/>
          <w:bCs/>
        </w:rPr>
      </w:pPr>
      <w:r w:rsidRPr="00BA51FB">
        <w:rPr>
          <w:rFonts w:ascii="Interkvop Text" w:hAnsi="Interkvop Text"/>
          <w:b/>
          <w:bCs/>
        </w:rPr>
        <w:lastRenderedPageBreak/>
        <w:br/>
      </w:r>
      <w:r w:rsidRPr="00BA51FB">
        <w:rPr>
          <w:rFonts w:ascii="Interkvop Text" w:hAnsi="Interkvop Text"/>
          <w:b/>
          <w:bCs/>
          <w:sz w:val="28"/>
          <w:szCs w:val="28"/>
        </w:rPr>
        <w:t>Stanovisko verejného ochrancu práv k dodržiavaniu práva pacientov a poistencov na inú právnu ochranu podľa čl. 46 ods. 1 Ústavy Slovenskej republiky v rozhodovacej činnosti Všeobecnej zdravotnej poisťovne, a. s.</w:t>
      </w:r>
      <w:r w:rsidRPr="00BA51FB">
        <w:rPr>
          <w:rFonts w:ascii="Interkvop Text" w:hAnsi="Interkvop Text"/>
          <w:b/>
          <w:bCs/>
        </w:rPr>
        <w:br/>
      </w:r>
    </w:p>
    <w:p w:rsidR="004D48A5" w:rsidRPr="00BA51FB" w:rsidRDefault="004D48A5" w:rsidP="004D48A5">
      <w:pPr>
        <w:spacing w:after="0"/>
        <w:rPr>
          <w:sz w:val="24"/>
          <w:szCs w:val="24"/>
        </w:rPr>
      </w:pPr>
      <w:r w:rsidRPr="00BA51FB">
        <w:rPr>
          <w:sz w:val="24"/>
          <w:szCs w:val="24"/>
        </w:rPr>
        <w:t xml:space="preserve"> </w:t>
      </w:r>
    </w:p>
    <w:p w:rsidR="004D48A5" w:rsidRPr="00BA51FB" w:rsidRDefault="004D48A5" w:rsidP="004D48A5">
      <w:pPr>
        <w:spacing w:after="0"/>
        <w:jc w:val="center"/>
        <w:rPr>
          <w:b/>
          <w:strike/>
          <w:sz w:val="24"/>
          <w:szCs w:val="24"/>
        </w:rPr>
      </w:pPr>
      <w:r w:rsidRPr="00BA51FB">
        <w:rPr>
          <w:b/>
          <w:sz w:val="24"/>
          <w:szCs w:val="24"/>
        </w:rPr>
        <w:t xml:space="preserve">Prípady, ktoré som posudzoval ako verejný ochranca práv a ktoré sa týkali postupu Všeobecnej zdravotnej poisťovne, a. s.  </w:t>
      </w:r>
    </w:p>
    <w:p w:rsidR="004D48A5" w:rsidRPr="00BA51FB" w:rsidRDefault="004D48A5" w:rsidP="004D48A5">
      <w:pPr>
        <w:spacing w:after="0"/>
        <w:jc w:val="center"/>
        <w:rPr>
          <w:b/>
          <w:sz w:val="24"/>
          <w:szCs w:val="24"/>
        </w:rPr>
      </w:pPr>
    </w:p>
    <w:p w:rsidR="004D48A5" w:rsidRPr="00BA51FB" w:rsidRDefault="004D48A5" w:rsidP="004D48A5">
      <w:pPr>
        <w:spacing w:after="0"/>
        <w:jc w:val="both"/>
        <w:rPr>
          <w:rFonts w:eastAsia="Times New Roman"/>
        </w:rPr>
      </w:pPr>
      <w:r w:rsidRPr="00BA51FB">
        <w:rPr>
          <w:rFonts w:eastAsia="Times New Roman"/>
        </w:rPr>
        <w:t>Ja, ako aj moja predchodkyňa, sme pri svojej činnosti zaznamenali niekoľko podnetov, v ktorých sme dospeli k záveru o porušení základného práva na inú právnu ochranu vyplývajúceho z čl. 46 ods. 1 Ústavy Slovenskej republiky (ďalej len „ústava“). Tieto podnety sa týkali postupu Všeobecnej zdravotnej poisťovne (ďalej len „VšZP“) pri schvaľovaní úhrady lieku (zdravotníckej pomôcky) v tzv. osobitných prípadoch.</w:t>
      </w:r>
      <w:r w:rsidRPr="00BA51FB">
        <w:rPr>
          <w:rStyle w:val="Odkaznapoznmkupodiarou"/>
          <w:rFonts w:eastAsia="Times New Roman"/>
        </w:rPr>
        <w:footnoteReference w:id="2"/>
      </w:r>
      <w:r w:rsidRPr="00BA51FB">
        <w:rPr>
          <w:rFonts w:eastAsia="Times New Roman"/>
        </w:rPr>
        <w:t xml:space="preserve"> </w:t>
      </w:r>
    </w:p>
    <w:p w:rsidR="004D48A5" w:rsidRPr="00BA51FB" w:rsidRDefault="004D48A5" w:rsidP="004D48A5">
      <w:pPr>
        <w:spacing w:after="0"/>
        <w:jc w:val="both"/>
        <w:rPr>
          <w:rFonts w:eastAsia="Times New Roman"/>
        </w:rPr>
      </w:pPr>
    </w:p>
    <w:p w:rsidR="004D48A5" w:rsidRPr="00BA51FB" w:rsidRDefault="004D48A5" w:rsidP="004D48A5">
      <w:pPr>
        <w:spacing w:after="0"/>
        <w:jc w:val="both"/>
        <w:rPr>
          <w:rFonts w:eastAsia="Times New Roman"/>
        </w:rPr>
      </w:pPr>
      <w:r w:rsidRPr="00BA51FB">
        <w:rPr>
          <w:rFonts w:eastAsia="Times New Roman"/>
        </w:rPr>
        <w:t xml:space="preserve">Podľa čl. 46 ods. 1 ústavy má každý právo domáhať sa zákonom ustanoveným postupom svojho práva na nezávislom a nestrannom súde a v prípadoch ustanovených zákonom na inom orgáne Slovenskej republiky (právo na súdnu a inú právnu ochranu). Tohto práva sa pritom možno domáhať v medziach zákonov, ktoré ho vykonávajú (čl. 51 ods. 1 ústavy), resp. ktoré upravujú podmienky a podrobnosti týchto práv. Obsah predmetného práva je v zásade dvojaký. Na jednej strane predstavuje ústavnú garanciu prístupu fyzických a právnických osôb k súdu a v prípadoch, keď zákonodarca zverí právomoc rozhodovať o právach a povinnostiach fyzických a právnických osôb aj iným orgánom Slovenskej republiky, tak aj prístup k týmto orgánom. Na druhej strane (a to aj s ohľadom na právo na spravodlivý proces podľa čl. 6 ods. 1 Dohovoru o ochrane ľudských práv a základných slobôd) predstavuje aj ústavnú garanciu zákonnosti a spravodlivosti procesného postupu súdnych a iných orgánov Slovenskej republiky pri rozhodovaní o základných právach a slobodách. </w:t>
      </w:r>
    </w:p>
    <w:p w:rsidR="004D48A5" w:rsidRPr="00BA51FB" w:rsidRDefault="004D48A5" w:rsidP="004D48A5">
      <w:pPr>
        <w:spacing w:after="0"/>
        <w:jc w:val="both"/>
        <w:rPr>
          <w:rFonts w:eastAsia="Times New Roman"/>
        </w:rPr>
      </w:pPr>
    </w:p>
    <w:p w:rsidR="004D48A5" w:rsidRPr="00BA51FB" w:rsidRDefault="004D48A5" w:rsidP="004D48A5">
      <w:pPr>
        <w:spacing w:after="0"/>
        <w:jc w:val="both"/>
        <w:rPr>
          <w:rFonts w:eastAsia="Times New Roman"/>
        </w:rPr>
      </w:pPr>
      <w:r w:rsidRPr="00BA51FB">
        <w:rPr>
          <w:rFonts w:eastAsia="Times New Roman"/>
        </w:rPr>
        <w:t xml:space="preserve">Pri identifikovaní obsahu práva na inú právnu ochranu je potrebné prihliadať jednak na predmet konania, ale aj na spoločné európske tradície a základné zásady v oblasti postupov orgánov verejnej správy, ktoré sú vyjadrené v odporúčaniach Výboru ministrov Rady Európy. Do podstaty tohto práva patrí aj účastníctvo v správnom konaní so všetkými procesnými oprávneniami tomu prislúchajúcimi. Ústavný súd Slovenskej republiky vo svojej ustálenej judikatúre opakovane konštatoval, že súčasťou obsahu základného práva na súdnu, ale aj na inú právnu ochranu poskytovanú orgánmi verejnej moci, je aj právo účastníka konania na také odôvodnenie rozhodnutia orgánu verejnej moci, ktoré jasne a zrozumiteľne </w:t>
      </w:r>
      <w:r w:rsidRPr="00BA51FB">
        <w:rPr>
          <w:rFonts w:eastAsia="Times New Roman"/>
        </w:rPr>
        <w:lastRenderedPageBreak/>
        <w:t>dáva odpovede na právne a skutkovo relevantné otázky súvisiace s predmetom súdnej a inej právnej ochrany.</w:t>
      </w:r>
      <w:r w:rsidRPr="00BA51FB">
        <w:rPr>
          <w:rStyle w:val="Odkaznapoznmkupodiarou"/>
          <w:rFonts w:eastAsia="Times New Roman"/>
        </w:rPr>
        <w:footnoteReference w:id="3"/>
      </w:r>
      <w:r w:rsidRPr="00BA51FB">
        <w:rPr>
          <w:rFonts w:eastAsia="Times New Roman"/>
        </w:rPr>
        <w:t xml:space="preserve">  </w:t>
      </w:r>
    </w:p>
    <w:p w:rsidR="004D48A5" w:rsidRPr="00BA51FB" w:rsidRDefault="004D48A5" w:rsidP="004D48A5">
      <w:pPr>
        <w:spacing w:after="0"/>
        <w:jc w:val="both"/>
        <w:rPr>
          <w:iCs/>
        </w:rPr>
      </w:pPr>
      <w:r w:rsidRPr="00BA51FB">
        <w:rPr>
          <w:rFonts w:eastAsia="Times New Roman"/>
        </w:rPr>
        <w:t xml:space="preserve">Som presvedčený, že procesný postup VšZP pri schvaľovaní úhrady liekov, zdravotníckych pomôcok, či dietetických potravín v osobitných prípadoch {bez ohľadu na to, či poistenec má právny nárok na úhradu a či sa na daný postup vzťahuje </w:t>
      </w:r>
      <w:r w:rsidRPr="00BA51FB">
        <w:t xml:space="preserve">zákon č. 71/1967 Zb. o správnom konaní (správny poriadok) v znení neskorších predpisov (ďalej len „správny poriadok“) </w:t>
      </w:r>
      <w:r w:rsidRPr="00BA51FB">
        <w:rPr>
          <w:rFonts w:eastAsia="Times New Roman"/>
        </w:rPr>
        <w:t xml:space="preserve">alebo je zákonom výslovne vylúčené jeho použitie} je administratívnym (správnym) konaním. Výsledok takéhoto konania je, bez ohľadu na jeho formu, nevyhnutné považovať za individuálny správny akt - rozhodnutie o právach a povinnostiach poistenca spočívajúce v určení, či mu bude z prostriedkov verejného zdravotného poistenia poskytnutá ním požadovaná úhrada. Takýto individuálny správny akt má autoritatívny vzťah k jeho adresátovi (poistencovi) a správny orgán (zdravotná poisťovňa) v tomto prípade vystupuje v úlohe vykonávateľa verejnej moci. Ide teda o výkon verejnej správy orgánom, ktorý patrí do pôsobnosti verejného ochrancu práv a ktorý môže verejný ochranca práv, v intenciách svojich kompetencií, posudzovať. </w:t>
      </w:r>
      <w:r w:rsidRPr="00BA51FB">
        <w:rPr>
          <w:iCs/>
        </w:rPr>
        <w:t>Napokon práve fakt, že na úhradu neexistuje právny nárok, podľa môjho názoru ešte viac umocňuje požiadavku riadneho a najmä presvedčivého odôvodnenia výsledku posudzovania žiadosti o úhradu lieku (zdravotníckej pomôcky, dietetickej potraviny), aby sa vylúčili akékoľvek pochybnosti o svojvôli v postupe zdravotnej poisťovne.</w:t>
      </w:r>
    </w:p>
    <w:p w:rsidR="004D48A5" w:rsidRPr="00BA51FB" w:rsidRDefault="004D48A5" w:rsidP="004D48A5">
      <w:pPr>
        <w:spacing w:after="0"/>
        <w:jc w:val="both"/>
      </w:pPr>
      <w:r w:rsidRPr="00BA51FB">
        <w:rPr>
          <w:iCs/>
        </w:rPr>
        <w:t xml:space="preserve"> </w:t>
      </w:r>
    </w:p>
    <w:p w:rsidR="004D48A5" w:rsidRPr="00BA51FB" w:rsidRDefault="004D48A5" w:rsidP="004D48A5">
      <w:pPr>
        <w:spacing w:after="0"/>
        <w:jc w:val="both"/>
        <w:rPr>
          <w:rFonts w:eastAsia="Times New Roman"/>
        </w:rPr>
      </w:pPr>
      <w:r w:rsidRPr="00BA51FB">
        <w:rPr>
          <w:rFonts w:eastAsia="Times New Roman"/>
        </w:rPr>
        <w:t>Uvedený právny názor sa opiera aj o rozhodovaciu činnosť súdov Slovenskej republiky, ktoré ako rozhodovanie o právach poistenca v oblasti verejnej správy už výslovne označili obdobné postupy zdravotných poisťovní, napr. schvaľovanie úhrady kúpeľnej starostlivosti</w:t>
      </w:r>
      <w:r w:rsidRPr="00BA51FB">
        <w:rPr>
          <w:rStyle w:val="Odkaznapoznmkupodiarou"/>
          <w:rFonts w:eastAsia="Times New Roman"/>
        </w:rPr>
        <w:footnoteReference w:id="4"/>
      </w:r>
      <w:r w:rsidRPr="00BA51FB">
        <w:rPr>
          <w:rFonts w:eastAsia="Times New Roman"/>
        </w:rPr>
        <w:t xml:space="preserve"> či schvaľovanie úhrady nekategorizovaného lieku.</w:t>
      </w:r>
      <w:r w:rsidRPr="00BA51FB">
        <w:rPr>
          <w:rStyle w:val="Odkaznapoznmkupodiarou"/>
          <w:rFonts w:eastAsia="Times New Roman"/>
        </w:rPr>
        <w:footnoteReference w:id="5"/>
      </w:r>
      <w:r w:rsidRPr="00BA51FB">
        <w:rPr>
          <w:rFonts w:eastAsia="Times New Roman"/>
        </w:rPr>
        <w:t xml:space="preserve"> </w:t>
      </w:r>
    </w:p>
    <w:p w:rsidR="004D48A5" w:rsidRPr="00BA51FB" w:rsidRDefault="004D48A5" w:rsidP="004D48A5">
      <w:pPr>
        <w:spacing w:after="0"/>
        <w:jc w:val="both"/>
        <w:rPr>
          <w:rFonts w:eastAsia="Times New Roman"/>
        </w:rPr>
      </w:pPr>
    </w:p>
    <w:p w:rsidR="004D48A5" w:rsidRPr="00BA51FB" w:rsidRDefault="004D48A5" w:rsidP="004D48A5">
      <w:pPr>
        <w:spacing w:after="0"/>
        <w:jc w:val="both"/>
        <w:rPr>
          <w:rFonts w:eastAsia="Times New Roman"/>
        </w:rPr>
      </w:pPr>
      <w:r w:rsidRPr="00BA51FB">
        <w:rPr>
          <w:rFonts w:eastAsia="Times New Roman"/>
        </w:rPr>
        <w:t xml:space="preserve">Keďže posudzované procesné postupy zdravotných poisťovní majú charakter správneho konania, na poistenca, o ktorého právach sa v tomto konaní rozhoduje, sa v plnej miere vzťahuje aj ochrana vyplývajúca z jeho základného práva na inú právnu ochranu podľa čl. 46 ods. 1 ústavy. </w:t>
      </w:r>
    </w:p>
    <w:p w:rsidR="004D48A5" w:rsidRPr="00BA51FB" w:rsidRDefault="004D48A5" w:rsidP="004D48A5">
      <w:pPr>
        <w:spacing w:after="0"/>
        <w:jc w:val="both"/>
        <w:rPr>
          <w:rFonts w:eastAsia="Times New Roman"/>
        </w:rPr>
      </w:pPr>
    </w:p>
    <w:p w:rsidR="004D48A5" w:rsidRPr="00BA51FB" w:rsidRDefault="004D48A5" w:rsidP="004D48A5">
      <w:pPr>
        <w:spacing w:after="0"/>
        <w:jc w:val="both"/>
      </w:pPr>
      <w:r w:rsidRPr="00BA51FB">
        <w:t>Správne konania sú po procesnej stránke regulované rôznymi spôsobmi. Základným spôsobom procesnej regulácie je postup podľa správneho poriadku, ako všeobecného predpisu o správnom konaní. Vo všeobecnosti platí pravidlo, že ak osobitný predpis upravuje rozhodovacie právomoci orgánu verejnej správy, pričom však vôbec neupravuje procesný postup a neustanovuje, podľa akého zákona je potrebné postupovať, na procesný postup správneho orgánu sa bude aplikovať správny poriadok.</w:t>
      </w:r>
      <w:r w:rsidRPr="00BA51FB">
        <w:rPr>
          <w:rStyle w:val="Odkaznapoznmkupodiarou"/>
        </w:rPr>
        <w:footnoteReference w:id="6"/>
      </w:r>
      <w:r w:rsidRPr="00BA51FB">
        <w:t xml:space="preserve"> Druhým spôsobom procesnej regulácie </w:t>
      </w:r>
      <w:r w:rsidRPr="00BA51FB">
        <w:lastRenderedPageBreak/>
        <w:t>správneho konania je postup podľa osobitného procesného predpisu, pričom správny poriadok alebo jeho časť sa v konaní využíva podporne (subsidiárne). Tretím spôsobom procesnej regulácie sú osobitné správne konania, na ktoré sa správny poriadok vôbec nevzťahuje. Ide o prípady, kedy je jeho aplikácia v konaní vylúčená (najčastejšie výslovne ustanovením osobitného procesného predpisu). Aj na takéto konania sa však primerane aplikujú zásady (pravidlá) správneho konania</w:t>
      </w:r>
      <w:r w:rsidRPr="00BA51FB">
        <w:rPr>
          <w:rStyle w:val="Odkaznapoznmkupodiarou"/>
        </w:rPr>
        <w:footnoteReference w:id="7"/>
      </w:r>
      <w:r w:rsidRPr="00BA51FB">
        <w:t xml:space="preserve"> a princípy dobrej verejnej správy.</w:t>
      </w:r>
      <w:r w:rsidRPr="00BA51FB">
        <w:rPr>
          <w:rStyle w:val="Odkaznapoznmkupodiarou"/>
        </w:rPr>
        <w:footnoteReference w:id="8"/>
      </w:r>
      <w:r w:rsidRPr="00BA51FB">
        <w:t xml:space="preserve"> </w:t>
      </w:r>
    </w:p>
    <w:p w:rsidR="004D48A5" w:rsidRPr="00BA51FB" w:rsidRDefault="004D48A5" w:rsidP="004D48A5">
      <w:pPr>
        <w:spacing w:after="0"/>
        <w:jc w:val="both"/>
      </w:pPr>
    </w:p>
    <w:p w:rsidR="004D48A5" w:rsidRPr="00BA51FB" w:rsidRDefault="004D48A5" w:rsidP="004D48A5">
      <w:pPr>
        <w:spacing w:after="0"/>
        <w:jc w:val="both"/>
      </w:pPr>
      <w:r w:rsidRPr="00BA51FB">
        <w:rPr>
          <w:rFonts w:cs="Segoe UI"/>
          <w:bCs/>
          <w:color w:val="000000"/>
          <w:shd w:val="clear" w:color="auto" w:fill="FFFFFF"/>
        </w:rPr>
        <w:t xml:space="preserve">Zákon č. 363/2011 Z. z. o rozsahu a podmienkach úhrady liekov, zdravotníckych pomôcok a dietetických potravín na základe verejného zdravotného poistenia a o zmene a doplnení niektorých zákonov v znení neskorších predpisov (ďalej len „zákon o úhrade liekov“) v § 84 ods. 1 </w:t>
      </w:r>
      <w:r w:rsidRPr="00BA51FB">
        <w:rPr>
          <w:rFonts w:cs="Segoe UI"/>
          <w:shd w:val="clear" w:color="auto" w:fill="FFFFFF"/>
        </w:rPr>
        <w:t>explicitne vylučuje použitie správneho poriadku na procesný postup zdravotnej poisťovne</w:t>
      </w:r>
      <w:r w:rsidRPr="00BA51FB">
        <w:rPr>
          <w:rFonts w:cs="Segoe UI"/>
          <w:bCs/>
          <w:color w:val="000000"/>
          <w:shd w:val="clear" w:color="auto" w:fill="FFFFFF"/>
        </w:rPr>
        <w:t xml:space="preserve"> pri schvaľovaní úhrady liekov, zdravotníckych pomôcok a dietetických potravín v osobitných prípadoch. </w:t>
      </w:r>
      <w:r w:rsidRPr="00BA51FB">
        <w:rPr>
          <w:rFonts w:cs="Segoe UI"/>
          <w:shd w:val="clear" w:color="auto" w:fill="FFFFFF"/>
        </w:rPr>
        <w:t xml:space="preserve">Napriek tomu však zdôrazňujem </w:t>
      </w:r>
      <w:r w:rsidRPr="00BA51FB">
        <w:rPr>
          <w:rFonts w:cs="Segoe UI"/>
          <w:bCs/>
          <w:shd w:val="clear" w:color="auto" w:fill="FFFFFF"/>
        </w:rPr>
        <w:t>potrebu dodržiavania minimálnych procesných štandardov vyplývajúcich zo základných pravidiel správneho konania a princípov dobrej verejnej správy</w:t>
      </w:r>
      <w:r w:rsidRPr="00BA51FB">
        <w:rPr>
          <w:rFonts w:cs="Segoe UI"/>
          <w:shd w:val="clear" w:color="auto" w:fill="FFFFFF"/>
        </w:rPr>
        <w:t xml:space="preserve">. </w:t>
      </w:r>
      <w:r w:rsidRPr="00BA51FB">
        <w:rPr>
          <w:rFonts w:eastAsia="Times New Roman"/>
        </w:rPr>
        <w:t>Povinnosť ich dodržiavania implicitne vyplýva z čl. 1 ods. 1 ústavy, ktorý Slovenskú republiky charakterizuje ako „demokratický a právny štát“ a vo svojej rozhodovacej činnosti túto povinnosť opakovane zdôraznil aj Najvyšší súd Slovenskej republiky.</w:t>
      </w:r>
      <w:r w:rsidRPr="00BA51FB">
        <w:rPr>
          <w:rFonts w:eastAsia="Times New Roman"/>
          <w:vertAlign w:val="superscript"/>
        </w:rPr>
        <w:footnoteReference w:id="9"/>
      </w:r>
      <w:r w:rsidRPr="00BA51FB">
        <w:rPr>
          <w:rFonts w:eastAsia="Times New Roman"/>
        </w:rPr>
        <w:t xml:space="preserve"> Základným dokumentom, ktorý komplexne vyjadruje najdôležitejšie princípy dobrej verejnej správy je odporúčanie Výboru ministrov Rady Európy č. (2007) 7 o dobrej verejnej správe (ďalej len „odporúčanie o dobrej verejnej správe“). Možno spomenúť napr. princíp konania v primeranej časovej lehote, princíp viazanosti právom, princíp rovnosti a zákaz diskriminácie, princíp právnej istoty, princíp proporcionality, princíp transparentnosti či princíp súčinnosti s verejnosťou. </w:t>
      </w:r>
      <w:r w:rsidRPr="00BA51FB">
        <w:t>Procesnoprávnou súčasťou princípov dobrej verejnej správy je aj právo na odôvodnenie rozhodnutia, ktoré vyplýva z čl. 17 odporúčania o dobrej verejnej správe, v zmysle ktorého musí byť správne rozhodnutie formulované v jednoduchej, jasnej a zrozumiteľnej podobe a musí obsahovať primerané zdôvodnenie obsahujúce skutkové a právne dôvody, pre ktoré bolo vydané.</w:t>
      </w:r>
    </w:p>
    <w:p w:rsidR="004D48A5" w:rsidRPr="00BA51FB" w:rsidRDefault="004D48A5" w:rsidP="004D48A5">
      <w:pPr>
        <w:spacing w:after="0"/>
        <w:jc w:val="both"/>
        <w:rPr>
          <w:rFonts w:eastAsia="Times New Roman"/>
        </w:rPr>
      </w:pPr>
    </w:p>
    <w:p w:rsidR="004D48A5" w:rsidRPr="00BA51FB" w:rsidRDefault="004D48A5" w:rsidP="004D48A5">
      <w:pPr>
        <w:spacing w:after="0"/>
        <w:jc w:val="both"/>
        <w:rPr>
          <w:rFonts w:cs="Calibri"/>
        </w:rPr>
      </w:pPr>
      <w:r w:rsidRPr="00BA51FB">
        <w:rPr>
          <w:rFonts w:cs="Calibri"/>
        </w:rPr>
        <w:t>Načrtnutý problém si dovolím ilustrovať na konkrétnych prípadoch, ktoré namietali podávatelia v podnetoch adresovaných verejnému ochrancovi práv:</w:t>
      </w:r>
    </w:p>
    <w:p w:rsidR="004D48A5" w:rsidRPr="00BA51FB" w:rsidRDefault="004D48A5" w:rsidP="004D48A5">
      <w:pPr>
        <w:pStyle w:val="Odsekzoznamu"/>
        <w:numPr>
          <w:ilvl w:val="0"/>
          <w:numId w:val="7"/>
        </w:numPr>
        <w:suppressAutoHyphens w:val="0"/>
        <w:jc w:val="both"/>
        <w:rPr>
          <w:rFonts w:ascii="Interkvop Text" w:hAnsi="Interkvop Text"/>
        </w:rPr>
      </w:pPr>
      <w:r w:rsidRPr="00BA51FB">
        <w:rPr>
          <w:rFonts w:ascii="Interkvop Text" w:hAnsi="Interkvop Text"/>
        </w:rPr>
        <w:t>V jednom z preskúmavaných podnetov poskytovateľ zdravotnej starostlivosti v mene poistenca VšZP požiadal o úhradu lieku KEYTRUDA v režime § 88 ods. 7 písm. h) zákona</w:t>
      </w:r>
      <w:r w:rsidRPr="00BA51FB">
        <w:rPr>
          <w:rFonts w:ascii="Interkvop Text" w:hAnsi="Interkvop Text" w:cs="Segoe UI"/>
          <w:bCs/>
          <w:color w:val="000000"/>
          <w:shd w:val="clear" w:color="auto" w:fill="FFFFFF"/>
        </w:rPr>
        <w:t xml:space="preserve"> o úhrade liekov.</w:t>
      </w:r>
      <w:r w:rsidRPr="00BA51FB">
        <w:rPr>
          <w:rStyle w:val="Odkaznapoznmkupodiarou"/>
          <w:rFonts w:ascii="Interkvop Text" w:hAnsi="Interkvop Text" w:cs="Segoe UI"/>
          <w:bCs/>
          <w:color w:val="000000"/>
          <w:shd w:val="clear" w:color="auto" w:fill="FFFFFF"/>
        </w:rPr>
        <w:footnoteReference w:id="10"/>
      </w:r>
      <w:r w:rsidRPr="00BA51FB">
        <w:rPr>
          <w:rFonts w:ascii="Interkvop Text" w:hAnsi="Interkvop Text" w:cs="Segoe UI"/>
          <w:bCs/>
          <w:color w:val="000000"/>
          <w:shd w:val="clear" w:color="auto" w:fill="FFFFFF"/>
        </w:rPr>
        <w:t xml:space="preserve"> </w:t>
      </w:r>
      <w:r w:rsidRPr="00BA51FB">
        <w:rPr>
          <w:rFonts w:ascii="Interkvop Text" w:hAnsi="Interkvop Text"/>
        </w:rPr>
        <w:t xml:space="preserve">Strohé konštatovanie, že liek KEYTRUDA je registrovaný a uvedený v platnom zozname kategorizovaných liekov, pričom terapeutická indikácia nie je uvedená v časti B zoznamu „Indikačné obmedzenia“, ktorým VšZP odôvodnila neschválenie úhrady, nemožno považovať za postačujúce. Táto </w:t>
      </w:r>
      <w:r w:rsidRPr="00BA51FB">
        <w:rPr>
          <w:rFonts w:ascii="Interkvop Text" w:hAnsi="Interkvop Text"/>
        </w:rPr>
        <w:lastRenderedPageBreak/>
        <w:t xml:space="preserve">skutočnosť ani nemôže byť logickým argumentom neuhradenia lieku podľa uvedeného ustanovenia, keďže, ako taká, predstavuje právny predpoklad rozhodovania o žiadosti v režime osobitnej úhrady, namiesto úhrady lieku v štandardnom režime podľa § 3 ods. 2 zákona o úhrade liekov. </w:t>
      </w:r>
    </w:p>
    <w:p w:rsidR="004D48A5" w:rsidRPr="00BA51FB" w:rsidRDefault="004D48A5" w:rsidP="004D48A5">
      <w:pPr>
        <w:pStyle w:val="Odsekzoznamu"/>
        <w:numPr>
          <w:ilvl w:val="0"/>
          <w:numId w:val="7"/>
        </w:numPr>
        <w:suppressAutoHyphens w:val="0"/>
        <w:jc w:val="both"/>
        <w:rPr>
          <w:rFonts w:ascii="Interkvop Text" w:hAnsi="Interkvop Text"/>
        </w:rPr>
      </w:pPr>
      <w:r w:rsidRPr="00BA51FB">
        <w:rPr>
          <w:rFonts w:ascii="Interkvop Text" w:hAnsi="Interkvop Text"/>
        </w:rPr>
        <w:t>Veľmi podobný scenár mal aj ďalší preskúmavaný prípad. Aj tu bola d</w:t>
      </w:r>
      <w:r w:rsidRPr="00BA51FB">
        <w:rPr>
          <w:rFonts w:ascii="Interkvop Text" w:hAnsi="Interkvop Text" w:cs="Calibri"/>
        </w:rPr>
        <w:t xml:space="preserve">ôvodom na nesúhlas VšZP s úhradou lieku Spinraza pre poistenca skutočnosť, že právny nárok na úhradu lieku nevznikol pre nesplnenie indikačného obmedzenia. Pritom práve pre nesplnenie indikačného obmedzenia poskytovateľ zdravotnej starostlivosti žiadal o schválenie úhrady lieku. </w:t>
      </w:r>
    </w:p>
    <w:p w:rsidR="004D48A5" w:rsidRPr="00BA51FB" w:rsidRDefault="004D48A5" w:rsidP="004D48A5">
      <w:pPr>
        <w:pStyle w:val="Odsekzoznamu"/>
        <w:numPr>
          <w:ilvl w:val="0"/>
          <w:numId w:val="7"/>
        </w:numPr>
        <w:suppressAutoHyphens w:val="0"/>
        <w:jc w:val="both"/>
        <w:rPr>
          <w:rFonts w:ascii="Interkvop Text" w:hAnsi="Interkvop Text"/>
        </w:rPr>
      </w:pPr>
      <w:r w:rsidRPr="00BA51FB">
        <w:rPr>
          <w:rFonts w:ascii="Interkvop Text" w:hAnsi="Interkvop Text"/>
        </w:rPr>
        <w:t>V ďalšom prípade (išlo o úhradu zdravotníckej pomôcky v súvislosti s poskytnutím zubnej zdravotnej starostlivosti). VšZP po posúdení žiadosti konštatovala, že podávateľ nesplnil všetky podmienky poskytnutia úhrady spoluúčasti ňou určené a žiadosť zamietla. V prvom liste adresovanom podávateľovi ako konkrétny dôvod zamietnutia uviedla skutočnosť, že u podávateľa neevidovala pravidelné stomatologické prehliadky. Pred zamietnutím žiadosti však podávateľovi nedala možnosť vyjadriť sa k tejto skutočnosti a nezaslala mu ani výzvu na predloženie potvrdenia o absolvovaní preventívnych prehliadok. Nedala mu teda príležitosť vyjadriť sa k podkladom pre rozhodnutie, ktoré priamo a negatívne ovplyvnilo jeho práva. V ďalšom postupe, po dodatočnom preukázaní absolvovania pravidelných stomatologických prehliadok, VšZP potvrdila svoje zamietavé stanovisko. Ako dôvod uviedla skutočnosť, že podmienkou schválenia príspevku je poskytovanie zdravotnej starostlivosti nezmluvným poskytovateľom zdravotnej starostlivosti, pričom v prípade podávateľa ide o zmluvného poskytovateľa zdravotnej starostlivosti. Išlo teda o úplne iný dôvod zamietnutia úhrady, ktorý sa v predchádzajúcom vyjadrení nespomínal a vo vzťahu ku ktorému podávateľ rovnako nemal možnosť sa vyjadriť pred samotným zamietnutím žiadosti. Pritom zákon o úhrade liekov umožňuje zdravotným poisťovniam poskytovať príspevok aj v prípade, ak zdravotnícku pomôcku predpíše zmluvná lekár.</w:t>
      </w:r>
      <w:r w:rsidRPr="00BA51FB">
        <w:rPr>
          <w:rFonts w:ascii="Interkvop Text" w:hAnsi="Interkvop Text"/>
          <w:vertAlign w:val="superscript"/>
        </w:rPr>
        <w:footnoteReference w:id="11"/>
      </w:r>
      <w:r w:rsidRPr="00BA51FB">
        <w:rPr>
          <w:rFonts w:ascii="Interkvop Text" w:hAnsi="Interkvop Text"/>
          <w:vertAlign w:val="superscript"/>
        </w:rPr>
        <w:t xml:space="preserve"> </w:t>
      </w:r>
    </w:p>
    <w:p w:rsidR="004D48A5" w:rsidRPr="00BA51FB" w:rsidRDefault="004D48A5" w:rsidP="004D48A5">
      <w:pPr>
        <w:pStyle w:val="Odsekzoznamu"/>
        <w:numPr>
          <w:ilvl w:val="0"/>
          <w:numId w:val="8"/>
        </w:numPr>
        <w:suppressAutoHyphens w:val="0"/>
        <w:ind w:left="709" w:hanging="283"/>
        <w:jc w:val="both"/>
        <w:rPr>
          <w:rFonts w:ascii="Interkvop Text" w:hAnsi="Interkvop Text"/>
        </w:rPr>
      </w:pPr>
      <w:r w:rsidRPr="00BA51FB">
        <w:rPr>
          <w:rFonts w:ascii="Interkvop Text" w:hAnsi="Interkvop Text"/>
        </w:rPr>
        <w:t xml:space="preserve">Problém s odôvodnením rozhodnutia som zaznamenal aj v uplynulom roku. Podávateľke podnetu bol diagnostikovaný generalizovaný kolorektálny karcinóm. Jej ošetrujúci onkológ žiadal pre podávateľku podnetu kombinovanú liečbu liekmi Erbitux (cetuximab) a Braftovi (enkorafenib), pretože neboli splnené indikačné obmedzenia liekov, avšak žiadosť o úhradu lieku Braftovi bola VšZP zamietnutá s odôvodnením, že úhrada lieku nie je možná, pretože zdravotná poisťovňa nemá s výrobcom, resp. držiteľom registrácie, dohodnuté žiadne podmienky úhrady nad rámec aktuálne platných indikačných obmedzení. Pritom takéto kritérium (samé osebe, bez splnenia ďalších podmienok) nie je uverejnené vo všeobecných kritériách pre úhradu liekov a dietetických potravín nad rámec kategorizácie zverejnených na webovom sídle </w:t>
      </w:r>
      <w:r w:rsidRPr="00BA51FB">
        <w:rPr>
          <w:rFonts w:ascii="Interkvop Text" w:hAnsi="Interkvop Text"/>
        </w:rPr>
        <w:lastRenderedPageBreak/>
        <w:t>VšZP.</w:t>
      </w:r>
      <w:r w:rsidRPr="00BA51FB">
        <w:rPr>
          <w:rStyle w:val="Odkaznapoznmkupodiarou"/>
          <w:rFonts w:ascii="Interkvop Text" w:hAnsi="Interkvop Text"/>
        </w:rPr>
        <w:footnoteReference w:id="12"/>
      </w:r>
      <w:r w:rsidRPr="00BA51FB">
        <w:rPr>
          <w:rFonts w:ascii="Interkvop Text" w:hAnsi="Interkvop Text"/>
        </w:rPr>
        <w:t xml:space="preserve"> V odôvodnení rozhodnutia som ani nenašiel odpoveď na otázku, či podávateľka podnetu spĺňa podmienky na úhradu lieku v zmysle § 88 ods. 9 zákona o úhrade liekov.</w:t>
      </w:r>
      <w:r w:rsidRPr="00BA51FB">
        <w:rPr>
          <w:rStyle w:val="Odkaznapoznmkupodiarou"/>
          <w:rFonts w:ascii="Interkvop Text" w:hAnsi="Interkvop Text"/>
        </w:rPr>
        <w:footnoteReference w:id="13"/>
      </w:r>
    </w:p>
    <w:p w:rsidR="004D48A5" w:rsidRPr="00BA51FB" w:rsidRDefault="004D48A5" w:rsidP="004D48A5">
      <w:pPr>
        <w:spacing w:after="0"/>
      </w:pPr>
    </w:p>
    <w:p w:rsidR="004D48A5" w:rsidRPr="00BA51FB" w:rsidRDefault="004D48A5" w:rsidP="004D48A5">
      <w:pPr>
        <w:spacing w:after="0"/>
      </w:pPr>
    </w:p>
    <w:p w:rsidR="004D48A5" w:rsidRPr="00BA51FB" w:rsidRDefault="004D48A5" w:rsidP="004D48A5">
      <w:pPr>
        <w:spacing w:after="0"/>
      </w:pPr>
    </w:p>
    <w:p w:rsidR="004D48A5" w:rsidRPr="00BA51FB" w:rsidRDefault="004D48A5" w:rsidP="004D48A5">
      <w:pPr>
        <w:spacing w:after="0"/>
      </w:pPr>
      <w:r w:rsidRPr="00BA51FB">
        <w:t>Bratislava 15. januára 2024</w:t>
      </w:r>
    </w:p>
    <w:p w:rsidR="004D48A5" w:rsidRPr="00BA51FB" w:rsidRDefault="004D48A5" w:rsidP="004D48A5">
      <w:pPr>
        <w:spacing w:after="0"/>
      </w:pPr>
    </w:p>
    <w:p w:rsidR="004D48A5" w:rsidRPr="00BA51FB" w:rsidRDefault="004D48A5" w:rsidP="004D48A5">
      <w:pPr>
        <w:spacing w:after="0"/>
      </w:pPr>
    </w:p>
    <w:p w:rsidR="004D48A5" w:rsidRPr="00BA51FB" w:rsidRDefault="004D48A5" w:rsidP="004D48A5">
      <w:pPr>
        <w:spacing w:after="0"/>
      </w:pPr>
    </w:p>
    <w:p w:rsidR="004D48A5" w:rsidRPr="00BA51FB" w:rsidRDefault="004D48A5" w:rsidP="004D48A5">
      <w:pPr>
        <w:spacing w:after="0"/>
      </w:pPr>
      <w:r w:rsidRPr="00BA51FB">
        <w:tab/>
      </w:r>
      <w:r w:rsidRPr="00BA51FB">
        <w:tab/>
      </w:r>
      <w:r w:rsidRPr="00BA51FB">
        <w:tab/>
      </w:r>
      <w:r w:rsidRPr="00BA51FB">
        <w:tab/>
      </w:r>
      <w:r w:rsidRPr="00BA51FB">
        <w:tab/>
      </w:r>
      <w:r w:rsidRPr="00BA51FB">
        <w:tab/>
      </w:r>
      <w:r w:rsidRPr="00BA51FB">
        <w:tab/>
      </w:r>
    </w:p>
    <w:p w:rsidR="004D48A5" w:rsidRPr="00BA51FB" w:rsidRDefault="004D48A5" w:rsidP="004D48A5">
      <w:pPr>
        <w:spacing w:after="0"/>
        <w:ind w:left="2832" w:firstLine="708"/>
        <w:jc w:val="right"/>
      </w:pPr>
      <w:r w:rsidRPr="00BA51FB">
        <w:t>JUDr. Róbert Dobrovodský, PhD., LL.M. (Tübingen)</w:t>
      </w:r>
    </w:p>
    <w:p w:rsidR="004D48A5" w:rsidRPr="00BA51FB" w:rsidRDefault="004D48A5" w:rsidP="004D48A5">
      <w:pPr>
        <w:spacing w:after="0"/>
        <w:ind w:left="4248" w:firstLine="708"/>
        <w:sectPr w:rsidR="004D48A5" w:rsidRPr="00BA51FB" w:rsidSect="008826D0">
          <w:footerReference w:type="default" r:id="rId10"/>
          <w:headerReference w:type="first" r:id="rId11"/>
          <w:footerReference w:type="first" r:id="rId12"/>
          <w:pgSz w:w="11906" w:h="16838" w:code="9"/>
          <w:pgMar w:top="1531" w:right="1418" w:bottom="1418" w:left="1418" w:header="635" w:footer="85" w:gutter="0"/>
          <w:pgNumType w:start="1"/>
          <w:cols w:space="708"/>
          <w:titlePg/>
          <w:docGrid w:linePitch="360"/>
        </w:sectPr>
      </w:pPr>
      <w:r w:rsidRPr="00BA51FB">
        <w:t xml:space="preserve">            verejný ochranca práv</w:t>
      </w:r>
      <w:r>
        <w:t>, v. r</w:t>
      </w:r>
    </w:p>
    <w:p w:rsidR="004D48A5" w:rsidRPr="00BA51FB" w:rsidRDefault="004D48A5" w:rsidP="004D48A5">
      <w:pPr>
        <w:spacing w:after="0"/>
      </w:pPr>
    </w:p>
    <w:p w:rsidR="004D48A5" w:rsidRDefault="004D48A5" w:rsidP="004D48A5">
      <w:pPr>
        <w:pStyle w:val="Zakladnystyl"/>
        <w:jc w:val="center"/>
      </w:pPr>
      <w:r w:rsidRPr="008F5DA7">
        <w:object w:dxaOrig="473" w:dyaOrig="587">
          <v:shape id="_x0000_i1027" type="#_x0000_t75" style="width:54.75pt;height:61.5pt" o:ole="">
            <v:imagedata r:id="rId7" o:title=""/>
          </v:shape>
          <o:OLEObject Type="Embed" ProgID="Word.Picture.8" ShapeID="_x0000_i1027" DrawAspect="Content" ObjectID="_1769857183" r:id="rId13"/>
        </w:object>
      </w:r>
    </w:p>
    <w:p w:rsidR="004D48A5" w:rsidRPr="006429A9" w:rsidRDefault="004D48A5" w:rsidP="004D48A5">
      <w:pPr>
        <w:pStyle w:val="Zakladnystyl"/>
        <w:rPr>
          <w:i/>
        </w:rPr>
      </w:pPr>
    </w:p>
    <w:p w:rsidR="004D48A5" w:rsidRPr="00D47DB0" w:rsidRDefault="004D48A5" w:rsidP="004D48A5">
      <w:pPr>
        <w:pStyle w:val="Zakladnystyl"/>
        <w:jc w:val="center"/>
        <w:rPr>
          <w:b/>
        </w:rPr>
      </w:pPr>
    </w:p>
    <w:p w:rsidR="004D48A5" w:rsidRPr="00D47DB0" w:rsidRDefault="004D48A5" w:rsidP="004D48A5">
      <w:pPr>
        <w:spacing w:line="240" w:lineRule="auto"/>
        <w:jc w:val="center"/>
        <w:rPr>
          <w:rFonts w:ascii="Times New Roman" w:hAnsi="Times New Roman"/>
          <w:b/>
          <w:sz w:val="28"/>
          <w:szCs w:val="28"/>
          <w:lang w:eastAsia="sk-SK"/>
        </w:rPr>
      </w:pPr>
      <w:r w:rsidRPr="00D47DB0">
        <w:rPr>
          <w:rFonts w:ascii="Times New Roman" w:hAnsi="Times New Roman"/>
          <w:b/>
          <w:sz w:val="28"/>
          <w:szCs w:val="28"/>
          <w:lang w:eastAsia="sk-SK"/>
        </w:rPr>
        <w:t>UZNESENIE RADY VLÁDY SR PRE ĽUDSKÉ PRÁVA, NÁRODNOSTNÉ MENŠINY A RODOVÚ ROVNOSŤ</w:t>
      </w:r>
    </w:p>
    <w:p w:rsidR="004D48A5" w:rsidRDefault="004D48A5" w:rsidP="004D48A5">
      <w:pPr>
        <w:pStyle w:val="Zakladnystyl"/>
        <w:jc w:val="center"/>
        <w:rPr>
          <w:b/>
          <w:bCs/>
          <w:sz w:val="32"/>
          <w:szCs w:val="32"/>
        </w:rPr>
      </w:pPr>
    </w:p>
    <w:p w:rsidR="004D48A5" w:rsidRDefault="004D48A5" w:rsidP="004D48A5">
      <w:pPr>
        <w:pStyle w:val="Zakladnystyl"/>
        <w:jc w:val="center"/>
        <w:rPr>
          <w:b/>
          <w:bCs/>
          <w:sz w:val="32"/>
          <w:szCs w:val="32"/>
        </w:rPr>
      </w:pPr>
      <w:r w:rsidRPr="00EE167A">
        <w:rPr>
          <w:b/>
          <w:bCs/>
          <w:sz w:val="32"/>
          <w:szCs w:val="32"/>
        </w:rPr>
        <w:t xml:space="preserve">č. </w:t>
      </w:r>
      <w:r>
        <w:rPr>
          <w:b/>
          <w:bCs/>
          <w:sz w:val="32"/>
          <w:szCs w:val="32"/>
        </w:rPr>
        <w:t>311</w:t>
      </w:r>
    </w:p>
    <w:p w:rsidR="004D48A5" w:rsidRPr="00EE167A" w:rsidRDefault="004D48A5" w:rsidP="004D48A5">
      <w:pPr>
        <w:pStyle w:val="Zakladnystyl"/>
        <w:jc w:val="center"/>
        <w:rPr>
          <w:b/>
          <w:bCs/>
          <w:sz w:val="32"/>
          <w:szCs w:val="32"/>
        </w:rPr>
      </w:pPr>
    </w:p>
    <w:p w:rsidR="004D48A5" w:rsidRDefault="004D48A5" w:rsidP="004D48A5">
      <w:pPr>
        <w:pStyle w:val="Zakladnystyl"/>
        <w:tabs>
          <w:tab w:val="left" w:pos="4111"/>
          <w:tab w:val="left" w:pos="4253"/>
        </w:tabs>
        <w:jc w:val="center"/>
        <w:rPr>
          <w:sz w:val="28"/>
          <w:szCs w:val="28"/>
        </w:rPr>
      </w:pPr>
      <w:r w:rsidRPr="00EE167A">
        <w:rPr>
          <w:sz w:val="28"/>
          <w:szCs w:val="28"/>
        </w:rPr>
        <w:t>z</w:t>
      </w:r>
      <w:r>
        <w:rPr>
          <w:sz w:val="28"/>
          <w:szCs w:val="28"/>
        </w:rPr>
        <w:t> 29. januára 2024</w:t>
      </w:r>
    </w:p>
    <w:p w:rsidR="004D48A5" w:rsidRPr="00B47736" w:rsidRDefault="004D48A5" w:rsidP="004D48A5">
      <w:pPr>
        <w:pStyle w:val="Zakladnystyl"/>
        <w:tabs>
          <w:tab w:val="left" w:pos="3765"/>
        </w:tabs>
        <w:jc w:val="center"/>
        <w:rPr>
          <w:sz w:val="28"/>
          <w:szCs w:val="28"/>
        </w:rPr>
      </w:pPr>
    </w:p>
    <w:p w:rsidR="004D48A5" w:rsidRPr="00B47736" w:rsidRDefault="004D48A5" w:rsidP="004D48A5">
      <w:pPr>
        <w:jc w:val="center"/>
        <w:rPr>
          <w:rFonts w:ascii="Times New Roman" w:hAnsi="Times New Roman"/>
          <w:b/>
          <w:bCs/>
          <w:color w:val="000000"/>
          <w:sz w:val="28"/>
          <w:szCs w:val="28"/>
        </w:rPr>
      </w:pPr>
      <w:r>
        <w:rPr>
          <w:rFonts w:ascii="Times New Roman" w:hAnsi="Times New Roman"/>
          <w:b/>
          <w:bCs/>
          <w:color w:val="000000"/>
          <w:sz w:val="28"/>
          <w:szCs w:val="28"/>
        </w:rPr>
        <w:t>k materiálu „Hodnotiaca správa Výboru pre národnostné menšiny a etnické skupiny o podpore kultúry národnostných menšín, o stave národnostného školstva a o používaní jazykov národnostných menšín za obdobie rokov 2021 – 2022“</w:t>
      </w:r>
    </w:p>
    <w:p w:rsidR="004D48A5" w:rsidRPr="00B47736" w:rsidRDefault="004D48A5" w:rsidP="004D48A5">
      <w:pPr>
        <w:spacing w:line="240" w:lineRule="auto"/>
        <w:jc w:val="center"/>
        <w:rPr>
          <w:rFonts w:ascii="Times New Roman" w:hAnsi="Times New Roman"/>
          <w:b/>
          <w:bCs/>
          <w:color w:val="000000"/>
          <w:szCs w:val="28"/>
        </w:rPr>
      </w:pPr>
    </w:p>
    <w:p w:rsidR="004D48A5" w:rsidRPr="00B47736" w:rsidRDefault="004D48A5" w:rsidP="004D48A5">
      <w:pPr>
        <w:pStyle w:val="Vlada"/>
        <w:pBdr>
          <w:bottom w:val="single" w:sz="4" w:space="1" w:color="auto"/>
        </w:pBdr>
        <w:spacing w:before="0"/>
        <w:rPr>
          <w:sz w:val="8"/>
          <w:szCs w:val="28"/>
        </w:rPr>
      </w:pPr>
    </w:p>
    <w:p w:rsidR="004D48A5" w:rsidRPr="00AD3523" w:rsidRDefault="004D48A5" w:rsidP="004D48A5">
      <w:pPr>
        <w:pStyle w:val="Vlada"/>
        <w:rPr>
          <w:sz w:val="28"/>
          <w:szCs w:val="28"/>
        </w:rPr>
      </w:pPr>
      <w:r w:rsidRPr="00AD3523">
        <w:rPr>
          <w:sz w:val="28"/>
          <w:szCs w:val="28"/>
        </w:rPr>
        <w:t xml:space="preserve">Rada vlády Slovenskej republiky pre ľudské práva, národnostné menšiny a rodovú rovnosť </w:t>
      </w:r>
    </w:p>
    <w:p w:rsidR="004D48A5" w:rsidRPr="005706A7" w:rsidRDefault="004D48A5" w:rsidP="004D48A5">
      <w:pPr>
        <w:pStyle w:val="Odsekzoznamu"/>
        <w:keepNext/>
        <w:numPr>
          <w:ilvl w:val="0"/>
          <w:numId w:val="4"/>
        </w:numPr>
        <w:suppressAutoHyphens w:val="0"/>
        <w:spacing w:before="240" w:line="240" w:lineRule="auto"/>
        <w:outlineLvl w:val="0"/>
        <w:rPr>
          <w:rFonts w:ascii="Times New Roman" w:eastAsia="Arial Unicode MS" w:hAnsi="Times New Roman"/>
          <w:b/>
          <w:bCs/>
          <w:kern w:val="36"/>
          <w:sz w:val="28"/>
          <w:szCs w:val="28"/>
        </w:rPr>
      </w:pPr>
      <w:r w:rsidRPr="005706A7">
        <w:rPr>
          <w:rFonts w:ascii="Times New Roman" w:eastAsia="Arial Unicode MS" w:hAnsi="Times New Roman"/>
          <w:b/>
          <w:bCs/>
          <w:kern w:val="36"/>
          <w:sz w:val="28"/>
          <w:szCs w:val="28"/>
        </w:rPr>
        <w:t>schvaľuje</w:t>
      </w:r>
    </w:p>
    <w:p w:rsidR="004D48A5" w:rsidRPr="00906294" w:rsidRDefault="004D48A5" w:rsidP="004D48A5">
      <w:pPr>
        <w:keepNext/>
        <w:spacing w:line="240" w:lineRule="auto"/>
        <w:ind w:left="360"/>
        <w:outlineLvl w:val="0"/>
        <w:rPr>
          <w:rFonts w:ascii="Times New Roman" w:eastAsia="Arial Unicode MS" w:hAnsi="Times New Roman"/>
          <w:b/>
          <w:bCs/>
          <w:kern w:val="36"/>
          <w:sz w:val="28"/>
          <w:szCs w:val="28"/>
          <w:lang w:eastAsia="sk-SK"/>
        </w:rPr>
      </w:pPr>
    </w:p>
    <w:p w:rsidR="004D48A5" w:rsidRDefault="004D48A5" w:rsidP="004D48A5">
      <w:pPr>
        <w:spacing w:line="240" w:lineRule="auto"/>
        <w:ind w:left="426"/>
        <w:jc w:val="both"/>
        <w:rPr>
          <w:rFonts w:ascii="Times New Roman" w:hAnsi="Times New Roman"/>
          <w:bCs/>
          <w:sz w:val="24"/>
          <w:szCs w:val="24"/>
        </w:rPr>
      </w:pPr>
      <w:r w:rsidRPr="00906294">
        <w:rPr>
          <w:rFonts w:ascii="Times New Roman" w:hAnsi="Times New Roman"/>
          <w:sz w:val="24"/>
          <w:szCs w:val="24"/>
          <w:lang w:eastAsia="sk-SK"/>
        </w:rPr>
        <w:t xml:space="preserve">A.1. </w:t>
      </w:r>
      <w:r w:rsidRPr="00906294">
        <w:rPr>
          <w:rFonts w:ascii="Times New Roman" w:hAnsi="Times New Roman"/>
          <w:bCs/>
          <w:sz w:val="24"/>
          <w:szCs w:val="24"/>
        </w:rPr>
        <w:t>Hod</w:t>
      </w:r>
      <w:r>
        <w:rPr>
          <w:rFonts w:ascii="Times New Roman" w:hAnsi="Times New Roman"/>
          <w:bCs/>
          <w:sz w:val="24"/>
          <w:szCs w:val="24"/>
        </w:rPr>
        <w:t>notiacu správu o podpore kultúr</w:t>
      </w:r>
      <w:r w:rsidRPr="00906294">
        <w:rPr>
          <w:rFonts w:ascii="Times New Roman" w:hAnsi="Times New Roman"/>
          <w:bCs/>
          <w:sz w:val="24"/>
          <w:szCs w:val="24"/>
        </w:rPr>
        <w:t xml:space="preserve"> národnostných menšín, o stave národnostného školstva a o používaní jazykov národnost</w:t>
      </w:r>
      <w:r>
        <w:rPr>
          <w:rFonts w:ascii="Times New Roman" w:hAnsi="Times New Roman"/>
          <w:bCs/>
          <w:sz w:val="24"/>
          <w:szCs w:val="24"/>
        </w:rPr>
        <w:t>ných menšín za obdobie rokov 2021 – 2022.</w:t>
      </w:r>
    </w:p>
    <w:p w:rsidR="004D48A5" w:rsidRDefault="004D48A5" w:rsidP="004D48A5">
      <w:pPr>
        <w:spacing w:line="240" w:lineRule="auto"/>
        <w:ind w:firstLine="60"/>
        <w:rPr>
          <w:rFonts w:ascii="Times New Roman" w:eastAsia="Arial Unicode MS" w:hAnsi="Times New Roman"/>
          <w:b/>
          <w:bCs/>
          <w:kern w:val="36"/>
          <w:sz w:val="28"/>
          <w:szCs w:val="28"/>
          <w:lang w:eastAsia="sk-SK"/>
        </w:rPr>
      </w:pPr>
    </w:p>
    <w:p w:rsidR="004D48A5" w:rsidRDefault="004D48A5" w:rsidP="004D48A5">
      <w:pPr>
        <w:pStyle w:val="Vlada"/>
      </w:pPr>
    </w:p>
    <w:p w:rsidR="004D48A5" w:rsidRDefault="004D48A5" w:rsidP="004D48A5">
      <w:pPr>
        <w:rPr>
          <w:rFonts w:ascii="Times New Roman" w:hAnsi="Times New Roman"/>
          <w:b/>
          <w:bCs/>
          <w:sz w:val="32"/>
          <w:szCs w:val="32"/>
          <w:lang w:eastAsia="sk-SK"/>
        </w:rPr>
      </w:pPr>
      <w:r>
        <w:br w:type="page"/>
      </w:r>
    </w:p>
    <w:p w:rsidR="004D48A5" w:rsidRDefault="004D48A5" w:rsidP="004D48A5">
      <w:pPr>
        <w:spacing w:line="240" w:lineRule="auto"/>
        <w:jc w:val="center"/>
        <w:rPr>
          <w:rFonts w:ascii="Times New Roman" w:hAnsi="Times New Roman"/>
          <w:b/>
          <w:sz w:val="28"/>
          <w:szCs w:val="28"/>
          <w:lang w:eastAsia="sk-SK"/>
        </w:rPr>
      </w:pPr>
      <w:r w:rsidRPr="00906294">
        <w:rPr>
          <w:rFonts w:ascii="Times New Roman" w:hAnsi="Times New Roman"/>
          <w:noProof/>
          <w:sz w:val="24"/>
          <w:szCs w:val="24"/>
          <w:lang w:eastAsia="sk-SK"/>
        </w:rPr>
        <w:lastRenderedPageBreak/>
        <w:drawing>
          <wp:inline distT="0" distB="0" distL="0" distR="0" wp14:anchorId="13B7F370" wp14:editId="1302C783">
            <wp:extent cx="702310" cy="800100"/>
            <wp:effectExtent l="0" t="0" r="254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2310" cy="800100"/>
                    </a:xfrm>
                    <a:prstGeom prst="rect">
                      <a:avLst/>
                    </a:prstGeom>
                    <a:noFill/>
                    <a:ln>
                      <a:noFill/>
                    </a:ln>
                  </pic:spPr>
                </pic:pic>
              </a:graphicData>
            </a:graphic>
          </wp:inline>
        </w:drawing>
      </w:r>
    </w:p>
    <w:p w:rsidR="004D48A5" w:rsidRDefault="004D48A5" w:rsidP="004D48A5">
      <w:pPr>
        <w:spacing w:line="240" w:lineRule="auto"/>
        <w:jc w:val="center"/>
        <w:rPr>
          <w:rFonts w:ascii="Times New Roman" w:hAnsi="Times New Roman"/>
          <w:b/>
          <w:sz w:val="28"/>
          <w:szCs w:val="28"/>
          <w:lang w:eastAsia="sk-SK"/>
        </w:rPr>
      </w:pPr>
    </w:p>
    <w:p w:rsidR="004D48A5" w:rsidRPr="00906294" w:rsidRDefault="004D48A5" w:rsidP="004D48A5">
      <w:pPr>
        <w:spacing w:line="240" w:lineRule="auto"/>
        <w:jc w:val="center"/>
        <w:rPr>
          <w:rFonts w:ascii="Times New Roman" w:hAnsi="Times New Roman"/>
          <w:caps/>
          <w:sz w:val="28"/>
          <w:szCs w:val="28"/>
          <w:lang w:eastAsia="sk-SK"/>
        </w:rPr>
      </w:pPr>
      <w:r>
        <w:rPr>
          <w:rFonts w:ascii="Times New Roman" w:hAnsi="Times New Roman"/>
          <w:b/>
          <w:sz w:val="28"/>
          <w:szCs w:val="28"/>
          <w:lang w:eastAsia="sk-SK"/>
        </w:rPr>
        <w:t xml:space="preserve">UZNESENIE </w:t>
      </w:r>
      <w:r w:rsidRPr="009817E3">
        <w:rPr>
          <w:rFonts w:ascii="Times New Roman" w:hAnsi="Times New Roman"/>
          <w:b/>
          <w:sz w:val="28"/>
          <w:szCs w:val="28"/>
          <w:lang w:eastAsia="sk-SK"/>
        </w:rPr>
        <w:t>RADY VLÁDY SR PRE ĽUDSKÉ PRÁVA, NÁRODNOSTNÉ MENŠINY A RODOVÚ ROVNOSŤ</w:t>
      </w:r>
    </w:p>
    <w:p w:rsidR="004D48A5" w:rsidRDefault="004D48A5" w:rsidP="004D48A5">
      <w:pPr>
        <w:spacing w:line="240" w:lineRule="auto"/>
        <w:jc w:val="center"/>
        <w:rPr>
          <w:rFonts w:ascii="Times New Roman" w:hAnsi="Times New Roman"/>
          <w:b/>
          <w:bCs/>
          <w:sz w:val="28"/>
          <w:szCs w:val="28"/>
          <w:lang w:eastAsia="sk-SK"/>
        </w:rPr>
      </w:pPr>
    </w:p>
    <w:p w:rsidR="004D48A5" w:rsidRPr="00D47DB0" w:rsidRDefault="004D48A5" w:rsidP="004D48A5">
      <w:pPr>
        <w:spacing w:line="240" w:lineRule="auto"/>
        <w:jc w:val="center"/>
        <w:rPr>
          <w:rFonts w:ascii="Times New Roman" w:hAnsi="Times New Roman"/>
          <w:b/>
          <w:bCs/>
          <w:sz w:val="28"/>
          <w:szCs w:val="28"/>
          <w:lang w:eastAsia="sk-SK"/>
        </w:rPr>
      </w:pPr>
      <w:r w:rsidRPr="00D47DB0">
        <w:rPr>
          <w:rFonts w:ascii="Times New Roman" w:hAnsi="Times New Roman"/>
          <w:b/>
          <w:bCs/>
          <w:sz w:val="28"/>
          <w:szCs w:val="28"/>
          <w:lang w:eastAsia="sk-SK"/>
        </w:rPr>
        <w:t xml:space="preserve">č. </w:t>
      </w:r>
      <w:r>
        <w:rPr>
          <w:rFonts w:ascii="Times New Roman" w:hAnsi="Times New Roman"/>
          <w:b/>
          <w:bCs/>
          <w:sz w:val="28"/>
          <w:szCs w:val="28"/>
          <w:lang w:eastAsia="sk-SK"/>
        </w:rPr>
        <w:t>312</w:t>
      </w:r>
    </w:p>
    <w:p w:rsidR="004D48A5" w:rsidRPr="00906294" w:rsidRDefault="004D48A5" w:rsidP="004D48A5">
      <w:pPr>
        <w:spacing w:line="240" w:lineRule="auto"/>
        <w:jc w:val="center"/>
        <w:rPr>
          <w:rFonts w:ascii="Times New Roman" w:hAnsi="Times New Roman"/>
          <w:b/>
          <w:bCs/>
          <w:sz w:val="28"/>
          <w:szCs w:val="28"/>
          <w:lang w:eastAsia="sk-SK"/>
        </w:rPr>
      </w:pPr>
    </w:p>
    <w:p w:rsidR="004D48A5" w:rsidRPr="00906294" w:rsidRDefault="004D48A5" w:rsidP="004D48A5">
      <w:pPr>
        <w:spacing w:line="240" w:lineRule="auto"/>
        <w:jc w:val="center"/>
        <w:rPr>
          <w:rFonts w:ascii="Times New Roman" w:hAnsi="Times New Roman"/>
          <w:sz w:val="28"/>
          <w:szCs w:val="28"/>
          <w:lang w:eastAsia="sk-SK"/>
        </w:rPr>
      </w:pPr>
      <w:r w:rsidRPr="00906294">
        <w:rPr>
          <w:rFonts w:ascii="Times New Roman" w:hAnsi="Times New Roman"/>
          <w:sz w:val="28"/>
          <w:szCs w:val="28"/>
          <w:lang w:eastAsia="sk-SK"/>
        </w:rPr>
        <w:t>z</w:t>
      </w:r>
      <w:r>
        <w:rPr>
          <w:rFonts w:ascii="Times New Roman" w:hAnsi="Times New Roman"/>
          <w:sz w:val="28"/>
          <w:szCs w:val="28"/>
          <w:lang w:eastAsia="sk-SK"/>
        </w:rPr>
        <w:t> 29. januára 2024</w:t>
      </w:r>
    </w:p>
    <w:p w:rsidR="004D48A5" w:rsidRPr="00906294" w:rsidRDefault="004D48A5" w:rsidP="004D48A5">
      <w:pPr>
        <w:tabs>
          <w:tab w:val="left" w:pos="3765"/>
        </w:tabs>
        <w:spacing w:line="240" w:lineRule="auto"/>
        <w:rPr>
          <w:rFonts w:ascii="Times New Roman" w:hAnsi="Times New Roman"/>
          <w:sz w:val="28"/>
          <w:szCs w:val="28"/>
          <w:lang w:eastAsia="sk-SK"/>
        </w:rPr>
      </w:pPr>
      <w:r w:rsidRPr="00906294">
        <w:rPr>
          <w:rFonts w:ascii="Times New Roman" w:hAnsi="Times New Roman"/>
          <w:sz w:val="28"/>
          <w:szCs w:val="28"/>
          <w:lang w:eastAsia="sk-SK"/>
        </w:rPr>
        <w:tab/>
      </w:r>
    </w:p>
    <w:p w:rsidR="004D48A5" w:rsidRPr="006D25B8" w:rsidRDefault="004D48A5" w:rsidP="004D48A5">
      <w:pPr>
        <w:spacing w:before="240" w:line="240" w:lineRule="auto"/>
        <w:jc w:val="center"/>
        <w:rPr>
          <w:rFonts w:ascii="Times New Roman" w:hAnsi="Times New Roman"/>
          <w:b/>
          <w:bCs/>
          <w:sz w:val="28"/>
          <w:szCs w:val="28"/>
          <w:highlight w:val="yellow"/>
        </w:rPr>
      </w:pPr>
      <w:r w:rsidRPr="006D25B8">
        <w:rPr>
          <w:rFonts w:ascii="Times New Roman" w:hAnsi="Times New Roman"/>
          <w:b/>
          <w:bCs/>
          <w:sz w:val="28"/>
          <w:szCs w:val="28"/>
        </w:rPr>
        <w:t>k materiálu „</w:t>
      </w:r>
      <w:r w:rsidRPr="006D25B8">
        <w:rPr>
          <w:rFonts w:ascii="Times New Roman" w:hAnsi="Times New Roman"/>
          <w:b/>
          <w:sz w:val="28"/>
          <w:szCs w:val="28"/>
        </w:rPr>
        <w:t>Uznesenie k návrhu zlúčenia Fondu na podporu umenia a Fondu na podporu kultúry národnostných menšín  vyplývajúci z Plánu legislatívnych úloh vlády SR na rok 2024.</w:t>
      </w:r>
      <w:r w:rsidRPr="006D25B8">
        <w:rPr>
          <w:rFonts w:ascii="Times New Roman" w:hAnsi="Times New Roman"/>
          <w:b/>
          <w:bCs/>
          <w:sz w:val="28"/>
          <w:szCs w:val="28"/>
        </w:rPr>
        <w:t>“</w:t>
      </w:r>
    </w:p>
    <w:p w:rsidR="004D48A5" w:rsidRPr="00AD3523" w:rsidRDefault="004D48A5" w:rsidP="004D48A5">
      <w:pPr>
        <w:pStyle w:val="Vlada"/>
        <w:pBdr>
          <w:bottom w:val="single" w:sz="4" w:space="1" w:color="auto"/>
        </w:pBdr>
        <w:spacing w:before="0"/>
        <w:ind w:left="720"/>
        <w:rPr>
          <w:b w:val="0"/>
          <w:sz w:val="24"/>
          <w:szCs w:val="24"/>
        </w:rPr>
      </w:pPr>
    </w:p>
    <w:p w:rsidR="004D48A5" w:rsidRDefault="004D48A5" w:rsidP="004D48A5">
      <w:pPr>
        <w:pStyle w:val="Vlada"/>
        <w:rPr>
          <w:sz w:val="28"/>
          <w:szCs w:val="28"/>
        </w:rPr>
      </w:pPr>
      <w:r w:rsidRPr="00AD3523">
        <w:rPr>
          <w:sz w:val="28"/>
          <w:szCs w:val="28"/>
        </w:rPr>
        <w:t xml:space="preserve">Rada vlády Slovenskej republiky pre ľudské práva, národnostné menšiny a rodovú rovnosť </w:t>
      </w:r>
    </w:p>
    <w:p w:rsidR="004D48A5" w:rsidRPr="00AD3523" w:rsidRDefault="004D48A5" w:rsidP="004D48A5">
      <w:pPr>
        <w:pStyle w:val="Vlada"/>
        <w:rPr>
          <w:sz w:val="28"/>
          <w:szCs w:val="28"/>
        </w:rPr>
      </w:pPr>
    </w:p>
    <w:p w:rsidR="004D48A5" w:rsidRPr="00336D19" w:rsidRDefault="004D48A5" w:rsidP="004D48A5">
      <w:pPr>
        <w:keepNext/>
        <w:numPr>
          <w:ilvl w:val="0"/>
          <w:numId w:val="5"/>
        </w:numPr>
        <w:spacing w:after="0" w:line="240" w:lineRule="auto"/>
        <w:outlineLvl w:val="0"/>
        <w:rPr>
          <w:rFonts w:ascii="Times New Roman" w:eastAsia="Arial Unicode MS" w:hAnsi="Times New Roman"/>
          <w:b/>
          <w:bCs/>
          <w:kern w:val="36"/>
          <w:sz w:val="28"/>
          <w:szCs w:val="28"/>
          <w:lang w:eastAsia="sk-SK"/>
        </w:rPr>
      </w:pPr>
      <w:r>
        <w:rPr>
          <w:rFonts w:ascii="Times New Roman" w:eastAsia="Arial Unicode MS" w:hAnsi="Times New Roman"/>
          <w:b/>
          <w:bCs/>
          <w:kern w:val="36"/>
          <w:sz w:val="28"/>
          <w:szCs w:val="28"/>
          <w:lang w:eastAsia="sk-SK"/>
        </w:rPr>
        <w:t>vyzýva Ministerstvo kultúry SR</w:t>
      </w:r>
    </w:p>
    <w:p w:rsidR="004D48A5" w:rsidRDefault="004D48A5" w:rsidP="004D48A5">
      <w:pPr>
        <w:keepNext/>
        <w:spacing w:line="240" w:lineRule="auto"/>
        <w:ind w:left="360"/>
        <w:outlineLvl w:val="0"/>
        <w:rPr>
          <w:rFonts w:ascii="Times New Roman" w:eastAsia="Arial Unicode MS" w:hAnsi="Times New Roman"/>
          <w:b/>
          <w:bCs/>
          <w:kern w:val="36"/>
          <w:sz w:val="24"/>
          <w:szCs w:val="24"/>
          <w:lang w:eastAsia="sk-SK"/>
        </w:rPr>
      </w:pPr>
    </w:p>
    <w:p w:rsidR="004D48A5" w:rsidRDefault="004D48A5" w:rsidP="004D48A5">
      <w:pPr>
        <w:spacing w:line="240" w:lineRule="auto"/>
        <w:ind w:left="993" w:hanging="567"/>
        <w:jc w:val="both"/>
        <w:rPr>
          <w:rFonts w:ascii="Times New Roman" w:hAnsi="Times New Roman"/>
          <w:sz w:val="24"/>
          <w:szCs w:val="24"/>
          <w:lang w:eastAsia="sk-SK"/>
        </w:rPr>
      </w:pPr>
      <w:r>
        <w:rPr>
          <w:rFonts w:ascii="Times New Roman" w:hAnsi="Times New Roman"/>
          <w:sz w:val="24"/>
          <w:szCs w:val="24"/>
          <w:lang w:eastAsia="sk-SK"/>
        </w:rPr>
        <w:t xml:space="preserve">A.1 </w:t>
      </w:r>
      <w:r>
        <w:rPr>
          <w:rFonts w:ascii="Times New Roman" w:hAnsi="Times New Roman"/>
          <w:sz w:val="24"/>
          <w:szCs w:val="24"/>
          <w:lang w:eastAsia="sk-SK"/>
        </w:rPr>
        <w:tab/>
        <w:t>prehodnotiť zámer zlúčenia Fondu na podporu umenia a </w:t>
      </w:r>
      <w:r w:rsidRPr="00EE2E68">
        <w:rPr>
          <w:rFonts w:ascii="Times New Roman" w:hAnsi="Times New Roman"/>
          <w:sz w:val="24"/>
          <w:szCs w:val="24"/>
          <w:lang w:eastAsia="sk-SK"/>
        </w:rPr>
        <w:t>Fondu na podporu kultúry národnostných menšín</w:t>
      </w:r>
      <w:r>
        <w:rPr>
          <w:rFonts w:ascii="Times New Roman" w:hAnsi="Times New Roman"/>
          <w:sz w:val="24"/>
          <w:szCs w:val="24"/>
          <w:lang w:eastAsia="sk-SK"/>
        </w:rPr>
        <w:t xml:space="preserve"> a preformulovať úlohu z Plánu legislatívnych úloh vlády SR na rok 2024 v súlade s Programovým vyhlásením vlády Slovenskej republiky 2023 – 2027 navrhnutím nového štatútu Fondu na podporu kultúry národnostných menšín;</w:t>
      </w:r>
    </w:p>
    <w:p w:rsidR="004D48A5" w:rsidRDefault="004D48A5" w:rsidP="004D48A5">
      <w:pPr>
        <w:spacing w:line="240" w:lineRule="auto"/>
        <w:ind w:left="993" w:hanging="567"/>
        <w:jc w:val="both"/>
        <w:rPr>
          <w:rFonts w:ascii="Times New Roman" w:hAnsi="Times New Roman"/>
          <w:sz w:val="24"/>
          <w:szCs w:val="24"/>
          <w:lang w:eastAsia="sk-SK"/>
        </w:rPr>
      </w:pPr>
    </w:p>
    <w:p w:rsidR="004D48A5" w:rsidRPr="00EE2E68" w:rsidRDefault="004D48A5" w:rsidP="004D48A5">
      <w:pPr>
        <w:pStyle w:val="Odsekzoznamu"/>
        <w:numPr>
          <w:ilvl w:val="0"/>
          <w:numId w:val="5"/>
        </w:numPr>
        <w:suppressAutoHyphens w:val="0"/>
        <w:spacing w:line="240" w:lineRule="auto"/>
        <w:jc w:val="both"/>
        <w:rPr>
          <w:rFonts w:ascii="Times New Roman" w:hAnsi="Times New Roman"/>
          <w:b/>
          <w:sz w:val="28"/>
          <w:szCs w:val="28"/>
        </w:rPr>
      </w:pPr>
      <w:r w:rsidRPr="00EE2E68">
        <w:rPr>
          <w:rFonts w:ascii="Times New Roman" w:hAnsi="Times New Roman"/>
          <w:b/>
          <w:sz w:val="28"/>
          <w:szCs w:val="28"/>
        </w:rPr>
        <w:t>odporúča</w:t>
      </w:r>
    </w:p>
    <w:p w:rsidR="004D48A5" w:rsidRDefault="004D48A5" w:rsidP="004D48A5">
      <w:pPr>
        <w:spacing w:line="240" w:lineRule="auto"/>
        <w:ind w:left="708"/>
        <w:jc w:val="both"/>
        <w:rPr>
          <w:rFonts w:ascii="Times New Roman" w:hAnsi="Times New Roman"/>
          <w:sz w:val="24"/>
          <w:szCs w:val="24"/>
          <w:lang w:eastAsia="sk-SK"/>
        </w:rPr>
      </w:pPr>
    </w:p>
    <w:p w:rsidR="004D48A5" w:rsidRDefault="004D48A5" w:rsidP="004D48A5">
      <w:pPr>
        <w:spacing w:line="240" w:lineRule="auto"/>
        <w:ind w:left="993" w:hanging="567"/>
        <w:rPr>
          <w:rFonts w:ascii="Times New Roman" w:hAnsi="Times New Roman"/>
          <w:sz w:val="24"/>
          <w:szCs w:val="24"/>
          <w:lang w:eastAsia="sk-SK"/>
        </w:rPr>
      </w:pPr>
      <w:r>
        <w:rPr>
          <w:rFonts w:ascii="Times New Roman" w:hAnsi="Times New Roman"/>
          <w:sz w:val="24"/>
          <w:szCs w:val="24"/>
          <w:lang w:eastAsia="sk-SK"/>
        </w:rPr>
        <w:t xml:space="preserve"> B.1 </w:t>
      </w:r>
      <w:r>
        <w:rPr>
          <w:rFonts w:ascii="Times New Roman" w:hAnsi="Times New Roman"/>
          <w:sz w:val="24"/>
          <w:szCs w:val="24"/>
          <w:lang w:eastAsia="sk-SK"/>
        </w:rPr>
        <w:tab/>
        <w:t xml:space="preserve">prizvať zástupcov národnostných menšín k participácii na legislatívnych zmenách týkajúcich sa </w:t>
      </w:r>
      <w:r w:rsidRPr="00EE2E68">
        <w:rPr>
          <w:rFonts w:ascii="Times New Roman" w:hAnsi="Times New Roman"/>
          <w:sz w:val="24"/>
          <w:szCs w:val="24"/>
          <w:lang w:eastAsia="sk-SK"/>
        </w:rPr>
        <w:t>Fondu na podporu kultúry národnostných menšín</w:t>
      </w:r>
      <w:r>
        <w:rPr>
          <w:rFonts w:ascii="Times New Roman" w:hAnsi="Times New Roman"/>
          <w:sz w:val="24"/>
          <w:szCs w:val="24"/>
          <w:lang w:eastAsia="sk-SK"/>
        </w:rPr>
        <w:t>.</w:t>
      </w:r>
    </w:p>
    <w:p w:rsidR="004D48A5" w:rsidRDefault="004D48A5" w:rsidP="004D48A5">
      <w:pPr>
        <w:spacing w:line="240" w:lineRule="auto"/>
        <w:ind w:firstLine="60"/>
        <w:rPr>
          <w:rFonts w:ascii="Times New Roman" w:eastAsia="Arial Unicode MS" w:hAnsi="Times New Roman"/>
          <w:b/>
          <w:bCs/>
          <w:kern w:val="36"/>
          <w:sz w:val="28"/>
          <w:szCs w:val="28"/>
          <w:lang w:eastAsia="sk-SK"/>
        </w:rPr>
      </w:pPr>
    </w:p>
    <w:p w:rsidR="004D48A5" w:rsidRDefault="004D48A5" w:rsidP="004D48A5">
      <w:pPr>
        <w:spacing w:line="240" w:lineRule="auto"/>
        <w:ind w:firstLine="60"/>
        <w:rPr>
          <w:rFonts w:ascii="Times New Roman" w:eastAsia="Arial Unicode MS" w:hAnsi="Times New Roman"/>
          <w:b/>
          <w:bCs/>
          <w:kern w:val="36"/>
          <w:sz w:val="28"/>
          <w:szCs w:val="28"/>
          <w:lang w:eastAsia="sk-SK"/>
        </w:rPr>
      </w:pPr>
    </w:p>
    <w:p w:rsidR="004D48A5" w:rsidRDefault="004D48A5" w:rsidP="004D48A5">
      <w:pPr>
        <w:spacing w:line="240" w:lineRule="auto"/>
        <w:ind w:firstLine="60"/>
        <w:rPr>
          <w:rFonts w:ascii="Times New Roman" w:eastAsia="Arial Unicode MS" w:hAnsi="Times New Roman"/>
          <w:b/>
          <w:bCs/>
          <w:kern w:val="36"/>
          <w:sz w:val="28"/>
          <w:szCs w:val="28"/>
          <w:lang w:eastAsia="sk-SK"/>
        </w:rPr>
      </w:pPr>
    </w:p>
    <w:p w:rsidR="004D48A5" w:rsidRPr="00C827EE" w:rsidRDefault="004D48A5" w:rsidP="004D48A5">
      <w:pPr>
        <w:keepNext/>
        <w:keepLines/>
        <w:spacing w:before="40" w:after="120"/>
        <w:jc w:val="both"/>
        <w:outlineLvl w:val="3"/>
        <w:rPr>
          <w:rFonts w:ascii="Interkvop Text" w:eastAsiaTheme="majorEastAsia" w:hAnsi="Interkvop Text" w:cstheme="majorBidi"/>
          <w:b/>
          <w:iCs/>
          <w:sz w:val="24"/>
          <w:szCs w:val="24"/>
          <w:u w:val="single"/>
        </w:rPr>
      </w:pPr>
    </w:p>
    <w:p w:rsidR="004D48A5" w:rsidRPr="00583668" w:rsidRDefault="004D48A5" w:rsidP="004D48A5">
      <w:pPr>
        <w:pStyle w:val="Zakladnystyl"/>
        <w:jc w:val="center"/>
        <w:rPr>
          <w:b/>
        </w:rPr>
      </w:pPr>
      <w:r w:rsidRPr="00583668">
        <w:object w:dxaOrig="480" w:dyaOrig="580">
          <v:shape id="_x0000_i1028" type="#_x0000_t75" style="width:57.75pt;height:65.25pt" o:ole="">
            <v:imagedata r:id="rId7" o:title=""/>
          </v:shape>
          <o:OLEObject Type="Embed" ProgID="Word.Picture.8" ShapeID="_x0000_i1028" DrawAspect="Content" ObjectID="_1769857184" r:id="rId15"/>
        </w:object>
      </w:r>
    </w:p>
    <w:p w:rsidR="004D48A5" w:rsidRPr="00583668" w:rsidRDefault="004D48A5" w:rsidP="004D48A5">
      <w:pPr>
        <w:pStyle w:val="Zakladnystyl"/>
        <w:rPr>
          <w:i/>
          <w:sz w:val="28"/>
          <w:szCs w:val="28"/>
        </w:rPr>
      </w:pPr>
    </w:p>
    <w:p w:rsidR="004D48A5" w:rsidRPr="00583668" w:rsidRDefault="004D48A5" w:rsidP="004D48A5">
      <w:pPr>
        <w:pStyle w:val="Zakladnystyl"/>
        <w:jc w:val="center"/>
        <w:rPr>
          <w:sz w:val="28"/>
          <w:szCs w:val="28"/>
        </w:rPr>
      </w:pPr>
    </w:p>
    <w:p w:rsidR="004D48A5" w:rsidRPr="00583668" w:rsidRDefault="004D48A5" w:rsidP="004D48A5">
      <w:pPr>
        <w:pStyle w:val="Zakladnystyl"/>
        <w:jc w:val="center"/>
        <w:rPr>
          <w:b/>
          <w:sz w:val="28"/>
          <w:szCs w:val="28"/>
        </w:rPr>
      </w:pPr>
      <w:r w:rsidRPr="00583668">
        <w:rPr>
          <w:b/>
          <w:sz w:val="28"/>
          <w:szCs w:val="28"/>
        </w:rPr>
        <w:t>UZNESENIE RADY VLÁDY SLOVENSKEJ REPUBLIKY</w:t>
      </w:r>
      <w:r w:rsidRPr="00583668">
        <w:rPr>
          <w:b/>
          <w:sz w:val="28"/>
          <w:szCs w:val="28"/>
        </w:rPr>
        <w:br/>
        <w:t xml:space="preserve"> PRE ĽUDSKÉ PRÁVA, NÁRODNOSTNÉ MENŠINY A RODOVÚ ROVNOSŤ</w:t>
      </w:r>
    </w:p>
    <w:p w:rsidR="004D48A5" w:rsidRPr="00583668" w:rsidRDefault="004D48A5" w:rsidP="004D48A5">
      <w:pPr>
        <w:pStyle w:val="Zakladnystyl"/>
        <w:jc w:val="center"/>
        <w:rPr>
          <w:b/>
          <w:sz w:val="28"/>
          <w:szCs w:val="28"/>
        </w:rPr>
      </w:pPr>
    </w:p>
    <w:p w:rsidR="004D48A5" w:rsidRPr="00583668" w:rsidRDefault="004D48A5" w:rsidP="004D48A5">
      <w:pPr>
        <w:pStyle w:val="Zakladnystyl"/>
        <w:ind w:left="3540" w:firstLine="708"/>
        <w:rPr>
          <w:b/>
          <w:bCs/>
          <w:sz w:val="28"/>
          <w:szCs w:val="28"/>
        </w:rPr>
      </w:pPr>
      <w:r>
        <w:rPr>
          <w:b/>
          <w:bCs/>
          <w:sz w:val="28"/>
          <w:szCs w:val="28"/>
        </w:rPr>
        <w:t>č. 313</w:t>
      </w:r>
      <w:r w:rsidRPr="00583668">
        <w:rPr>
          <w:b/>
          <w:bCs/>
          <w:sz w:val="28"/>
          <w:szCs w:val="28"/>
        </w:rPr>
        <w:t xml:space="preserve">     </w:t>
      </w:r>
    </w:p>
    <w:p w:rsidR="004D48A5" w:rsidRPr="00583668" w:rsidRDefault="004D48A5" w:rsidP="004D48A5">
      <w:pPr>
        <w:pStyle w:val="Zakladnystyl"/>
        <w:jc w:val="center"/>
        <w:rPr>
          <w:sz w:val="28"/>
          <w:szCs w:val="28"/>
        </w:rPr>
      </w:pPr>
    </w:p>
    <w:p w:rsidR="004D48A5" w:rsidRPr="00583668" w:rsidRDefault="004D48A5" w:rsidP="004D48A5">
      <w:pPr>
        <w:pStyle w:val="Zakladnystyl"/>
        <w:jc w:val="center"/>
        <w:rPr>
          <w:sz w:val="28"/>
          <w:szCs w:val="28"/>
        </w:rPr>
      </w:pPr>
      <w:r w:rsidRPr="00583668">
        <w:rPr>
          <w:sz w:val="28"/>
          <w:szCs w:val="28"/>
        </w:rPr>
        <w:t>z 29. januára 2024</w:t>
      </w:r>
    </w:p>
    <w:p w:rsidR="004D48A5" w:rsidRPr="00583668" w:rsidRDefault="004D48A5" w:rsidP="004D48A5">
      <w:pPr>
        <w:tabs>
          <w:tab w:val="center" w:pos="4536"/>
          <w:tab w:val="right" w:pos="9072"/>
        </w:tabs>
        <w:jc w:val="center"/>
        <w:rPr>
          <w:rFonts w:ascii="Times New Roman" w:hAnsi="Times New Roman"/>
          <w:caps/>
          <w:sz w:val="28"/>
          <w:szCs w:val="28"/>
        </w:rPr>
      </w:pPr>
    </w:p>
    <w:p w:rsidR="004D48A5" w:rsidRPr="00583668" w:rsidRDefault="004D48A5" w:rsidP="004D48A5">
      <w:pPr>
        <w:pStyle w:val="Nadpis1"/>
        <w:ind w:right="145"/>
        <w:jc w:val="center"/>
        <w:rPr>
          <w:rFonts w:ascii="Times New Roman" w:hAnsi="Times New Roman"/>
        </w:rPr>
      </w:pPr>
      <w:r w:rsidRPr="00583668">
        <w:rPr>
          <w:rFonts w:ascii="Times New Roman" w:hAnsi="Times New Roman"/>
          <w:sz w:val="28"/>
          <w:szCs w:val="28"/>
        </w:rPr>
        <w:t>k</w:t>
      </w:r>
      <w:r w:rsidRPr="00583668">
        <w:rPr>
          <w:rFonts w:ascii="Times New Roman" w:hAnsi="Times New Roman"/>
          <w:spacing w:val="-6"/>
        </w:rPr>
        <w:t xml:space="preserve"> </w:t>
      </w:r>
      <w:r w:rsidRPr="00583668">
        <w:rPr>
          <w:rFonts w:ascii="Times New Roman" w:hAnsi="Times New Roman"/>
          <w:sz w:val="28"/>
          <w:szCs w:val="28"/>
        </w:rPr>
        <w:t>Informácií</w:t>
      </w:r>
      <w:r w:rsidRPr="00583668">
        <w:rPr>
          <w:rFonts w:ascii="Times New Roman" w:hAnsi="Times New Roman"/>
          <w:spacing w:val="-3"/>
          <w:sz w:val="28"/>
          <w:szCs w:val="28"/>
        </w:rPr>
        <w:t xml:space="preserve"> </w:t>
      </w:r>
      <w:r w:rsidRPr="00583668">
        <w:rPr>
          <w:rFonts w:ascii="Times New Roman" w:hAnsi="Times New Roman"/>
          <w:sz w:val="28"/>
          <w:szCs w:val="28"/>
        </w:rPr>
        <w:t>o tvorbe minimálnych štandardov dištančného poradenstva prostredníctvom liniek pomoci</w:t>
      </w:r>
    </w:p>
    <w:p w:rsidR="004D48A5" w:rsidRPr="00583668" w:rsidRDefault="004D48A5" w:rsidP="004D48A5">
      <w:pPr>
        <w:pStyle w:val="Zkladntext"/>
        <w:spacing w:before="11"/>
        <w:rPr>
          <w:b/>
          <w:sz w:val="21"/>
        </w:rPr>
      </w:pPr>
      <w:r w:rsidRPr="00583668">
        <w:rPr>
          <w:noProof/>
          <w:lang w:eastAsia="sk-SK"/>
        </w:rPr>
        <mc:AlternateContent>
          <mc:Choice Requires="wps">
            <w:drawing>
              <wp:anchor distT="0" distB="0" distL="0" distR="0" simplePos="0" relativeHeight="251659264" behindDoc="1" locked="0" layoutInCell="1" allowOverlap="1" wp14:anchorId="6CACAC6D" wp14:editId="375FC882">
                <wp:simplePos x="0" y="0"/>
                <wp:positionH relativeFrom="page">
                  <wp:posOffset>899160</wp:posOffset>
                </wp:positionH>
                <wp:positionV relativeFrom="paragraph">
                  <wp:posOffset>188595</wp:posOffset>
                </wp:positionV>
                <wp:extent cx="5715000" cy="1270"/>
                <wp:effectExtent l="13335" t="8890" r="5715" b="8890"/>
                <wp:wrapTopAndBottom/>
                <wp:docPr id="13" name="Voľný tvar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6 1416"/>
                            <a:gd name="T1" fmla="*/ T0 w 9000"/>
                            <a:gd name="T2" fmla="+- 0 10416 1416"/>
                            <a:gd name="T3" fmla="*/ T2 w 9000"/>
                          </a:gdLst>
                          <a:ahLst/>
                          <a:cxnLst>
                            <a:cxn ang="0">
                              <a:pos x="T1" y="0"/>
                            </a:cxn>
                            <a:cxn ang="0">
                              <a:pos x="T3" y="0"/>
                            </a:cxn>
                          </a:cxnLst>
                          <a:rect l="0" t="0" r="r" b="b"/>
                          <a:pathLst>
                            <a:path w="9000">
                              <a:moveTo>
                                <a:pt x="0" y="0"/>
                              </a:moveTo>
                              <a:lnTo>
                                <a:pt x="90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D6107" id="Voľný tvar 13" o:spid="_x0000_s1026" style="position:absolute;margin-left:70.8pt;margin-top:14.85pt;width:450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" path="m,l9000,e" filled="f" strokeweight=".48pt">
                <v:path arrowok="t" o:connecttype="custom" o:connectlocs="0,0;5715000,0" o:connectangles="0,0"/>
                <w10:wrap type="topAndBottom" anchorx="page"/>
              </v:shape>
            </w:pict>
          </mc:Fallback>
        </mc:AlternateContent>
      </w:r>
    </w:p>
    <w:p w:rsidR="004D48A5" w:rsidRPr="00583668" w:rsidRDefault="004D48A5" w:rsidP="004D48A5">
      <w:pPr>
        <w:pStyle w:val="Zkladntext"/>
        <w:spacing w:before="6"/>
        <w:rPr>
          <w:b/>
          <w:sz w:val="17"/>
        </w:rPr>
      </w:pPr>
    </w:p>
    <w:p w:rsidR="004D48A5" w:rsidRPr="00583668" w:rsidRDefault="004D48A5" w:rsidP="004D48A5">
      <w:pPr>
        <w:spacing w:before="89"/>
        <w:ind w:left="136"/>
        <w:rPr>
          <w:rFonts w:ascii="Times New Roman" w:hAnsi="Times New Roman"/>
          <w:b/>
          <w:sz w:val="28"/>
        </w:rPr>
      </w:pPr>
      <w:r w:rsidRPr="00583668">
        <w:rPr>
          <w:rFonts w:ascii="Times New Roman" w:hAnsi="Times New Roman"/>
          <w:b/>
          <w:sz w:val="28"/>
        </w:rPr>
        <w:t>Rada</w:t>
      </w:r>
      <w:r w:rsidRPr="00583668">
        <w:rPr>
          <w:rFonts w:ascii="Times New Roman" w:hAnsi="Times New Roman"/>
          <w:b/>
          <w:spacing w:val="-5"/>
          <w:sz w:val="28"/>
        </w:rPr>
        <w:t xml:space="preserve"> </w:t>
      </w:r>
      <w:r w:rsidRPr="00583668">
        <w:rPr>
          <w:rFonts w:ascii="Times New Roman" w:hAnsi="Times New Roman"/>
          <w:b/>
          <w:sz w:val="28"/>
        </w:rPr>
        <w:t>vlády</w:t>
      </w:r>
      <w:r w:rsidRPr="00583668">
        <w:rPr>
          <w:rFonts w:ascii="Times New Roman" w:hAnsi="Times New Roman"/>
          <w:b/>
          <w:spacing w:val="-2"/>
          <w:sz w:val="28"/>
        </w:rPr>
        <w:t xml:space="preserve"> </w:t>
      </w:r>
      <w:r w:rsidRPr="00583668">
        <w:rPr>
          <w:rFonts w:ascii="Times New Roman" w:hAnsi="Times New Roman"/>
          <w:b/>
          <w:sz w:val="28"/>
        </w:rPr>
        <w:t>SR</w:t>
      </w:r>
      <w:r w:rsidRPr="00583668">
        <w:rPr>
          <w:rFonts w:ascii="Times New Roman" w:hAnsi="Times New Roman"/>
          <w:b/>
          <w:spacing w:val="-4"/>
          <w:sz w:val="28"/>
        </w:rPr>
        <w:t xml:space="preserve"> </w:t>
      </w:r>
      <w:r w:rsidRPr="00583668">
        <w:rPr>
          <w:rFonts w:ascii="Times New Roman" w:hAnsi="Times New Roman"/>
          <w:b/>
          <w:sz w:val="28"/>
        </w:rPr>
        <w:t>pre</w:t>
      </w:r>
      <w:r w:rsidRPr="00583668">
        <w:rPr>
          <w:rFonts w:ascii="Times New Roman" w:hAnsi="Times New Roman"/>
          <w:b/>
          <w:spacing w:val="-7"/>
          <w:sz w:val="28"/>
        </w:rPr>
        <w:t xml:space="preserve"> </w:t>
      </w:r>
      <w:r w:rsidRPr="00583668">
        <w:rPr>
          <w:rFonts w:ascii="Times New Roman" w:hAnsi="Times New Roman"/>
          <w:b/>
          <w:sz w:val="28"/>
        </w:rPr>
        <w:t>ľudské</w:t>
      </w:r>
      <w:r w:rsidRPr="00583668">
        <w:rPr>
          <w:rFonts w:ascii="Times New Roman" w:hAnsi="Times New Roman"/>
          <w:b/>
          <w:spacing w:val="-3"/>
          <w:sz w:val="28"/>
        </w:rPr>
        <w:t xml:space="preserve"> </w:t>
      </w:r>
      <w:r w:rsidRPr="00583668">
        <w:rPr>
          <w:rFonts w:ascii="Times New Roman" w:hAnsi="Times New Roman"/>
          <w:b/>
          <w:sz w:val="28"/>
        </w:rPr>
        <w:t>práva,</w:t>
      </w:r>
      <w:r w:rsidRPr="00583668">
        <w:rPr>
          <w:rFonts w:ascii="Times New Roman" w:hAnsi="Times New Roman"/>
          <w:b/>
          <w:spacing w:val="-2"/>
          <w:sz w:val="28"/>
        </w:rPr>
        <w:t xml:space="preserve"> </w:t>
      </w:r>
      <w:r w:rsidRPr="00583668">
        <w:rPr>
          <w:rFonts w:ascii="Times New Roman" w:hAnsi="Times New Roman"/>
          <w:b/>
          <w:sz w:val="28"/>
        </w:rPr>
        <w:t>národnostné</w:t>
      </w:r>
      <w:r w:rsidRPr="00583668">
        <w:rPr>
          <w:rFonts w:ascii="Times New Roman" w:hAnsi="Times New Roman"/>
          <w:b/>
          <w:spacing w:val="-3"/>
          <w:sz w:val="28"/>
        </w:rPr>
        <w:t xml:space="preserve"> </w:t>
      </w:r>
      <w:r w:rsidRPr="00583668">
        <w:rPr>
          <w:rFonts w:ascii="Times New Roman" w:hAnsi="Times New Roman"/>
          <w:b/>
          <w:sz w:val="28"/>
        </w:rPr>
        <w:t>menšiny</w:t>
      </w:r>
      <w:r w:rsidRPr="00583668">
        <w:rPr>
          <w:rFonts w:ascii="Times New Roman" w:hAnsi="Times New Roman"/>
          <w:b/>
          <w:spacing w:val="-2"/>
          <w:sz w:val="28"/>
        </w:rPr>
        <w:t xml:space="preserve"> </w:t>
      </w:r>
      <w:r w:rsidRPr="00583668">
        <w:rPr>
          <w:rFonts w:ascii="Times New Roman" w:hAnsi="Times New Roman"/>
          <w:b/>
          <w:sz w:val="28"/>
        </w:rPr>
        <w:t>a</w:t>
      </w:r>
      <w:r w:rsidRPr="00583668">
        <w:rPr>
          <w:rFonts w:ascii="Times New Roman" w:hAnsi="Times New Roman"/>
          <w:b/>
          <w:spacing w:val="-2"/>
          <w:sz w:val="28"/>
        </w:rPr>
        <w:t xml:space="preserve"> </w:t>
      </w:r>
      <w:r w:rsidRPr="00583668">
        <w:rPr>
          <w:rFonts w:ascii="Times New Roman" w:hAnsi="Times New Roman"/>
          <w:b/>
          <w:sz w:val="28"/>
        </w:rPr>
        <w:t>rodovú</w:t>
      </w:r>
      <w:r w:rsidRPr="00583668">
        <w:rPr>
          <w:rFonts w:ascii="Times New Roman" w:hAnsi="Times New Roman"/>
          <w:b/>
          <w:spacing w:val="-3"/>
          <w:sz w:val="28"/>
        </w:rPr>
        <w:t xml:space="preserve"> </w:t>
      </w:r>
      <w:r w:rsidRPr="00583668">
        <w:rPr>
          <w:rFonts w:ascii="Times New Roman" w:hAnsi="Times New Roman"/>
          <w:b/>
          <w:sz w:val="28"/>
        </w:rPr>
        <w:t>rovnosť</w:t>
      </w:r>
    </w:p>
    <w:p w:rsidR="004D48A5" w:rsidRPr="00583668" w:rsidRDefault="004D48A5" w:rsidP="004D48A5">
      <w:pPr>
        <w:pStyle w:val="Zkladntext"/>
        <w:spacing w:before="2"/>
        <w:rPr>
          <w:b/>
          <w:sz w:val="28"/>
        </w:rPr>
      </w:pPr>
    </w:p>
    <w:p w:rsidR="004D48A5" w:rsidRPr="00583668" w:rsidRDefault="004D48A5" w:rsidP="004D48A5">
      <w:pPr>
        <w:pStyle w:val="Nadpis1"/>
        <w:keepNext w:val="0"/>
        <w:widowControl w:val="0"/>
        <w:numPr>
          <w:ilvl w:val="0"/>
          <w:numId w:val="6"/>
        </w:numPr>
        <w:tabs>
          <w:tab w:val="left" w:pos="685"/>
          <w:tab w:val="left" w:pos="687"/>
        </w:tabs>
        <w:suppressAutoHyphens w:val="0"/>
        <w:autoSpaceDE w:val="0"/>
        <w:autoSpaceDN w:val="0"/>
        <w:spacing w:before="0" w:after="0" w:line="240" w:lineRule="auto"/>
        <w:ind w:hanging="551"/>
        <w:rPr>
          <w:rFonts w:ascii="Times New Roman" w:hAnsi="Times New Roman"/>
        </w:rPr>
      </w:pPr>
      <w:r w:rsidRPr="00583668">
        <w:rPr>
          <w:rFonts w:ascii="Times New Roman" w:hAnsi="Times New Roman"/>
        </w:rPr>
        <w:t>berie</w:t>
      </w:r>
      <w:r w:rsidRPr="00583668">
        <w:rPr>
          <w:rFonts w:ascii="Times New Roman" w:hAnsi="Times New Roman"/>
          <w:spacing w:val="-1"/>
        </w:rPr>
        <w:t xml:space="preserve"> </w:t>
      </w:r>
      <w:r w:rsidRPr="00583668">
        <w:rPr>
          <w:rFonts w:ascii="Times New Roman" w:hAnsi="Times New Roman"/>
        </w:rPr>
        <w:t>na vedomie</w:t>
      </w:r>
    </w:p>
    <w:p w:rsidR="004D48A5" w:rsidRPr="00583668" w:rsidRDefault="004D48A5" w:rsidP="004D48A5">
      <w:pPr>
        <w:pStyle w:val="Zkladntext"/>
        <w:rPr>
          <w:b/>
          <w:sz w:val="28"/>
        </w:rPr>
      </w:pPr>
    </w:p>
    <w:p w:rsidR="004D48A5" w:rsidRPr="00583668" w:rsidRDefault="004D48A5" w:rsidP="004D48A5">
      <w:pPr>
        <w:pStyle w:val="Vlada"/>
        <w:spacing w:before="0"/>
        <w:ind w:left="851"/>
        <w:jc w:val="both"/>
        <w:rPr>
          <w:b w:val="0"/>
          <w:sz w:val="24"/>
          <w:szCs w:val="28"/>
        </w:rPr>
      </w:pPr>
      <w:r w:rsidRPr="00583668">
        <w:rPr>
          <w:b w:val="0"/>
          <w:sz w:val="24"/>
        </w:rPr>
        <w:t>Informáciu</w:t>
      </w:r>
      <w:r w:rsidRPr="00583668">
        <w:rPr>
          <w:b w:val="0"/>
          <w:spacing w:val="-2"/>
          <w:sz w:val="24"/>
        </w:rPr>
        <w:t xml:space="preserve"> </w:t>
      </w:r>
      <w:r w:rsidRPr="00583668">
        <w:rPr>
          <w:b w:val="0"/>
          <w:sz w:val="24"/>
        </w:rPr>
        <w:t>o tvorbe minimálnych štandardov dištančného poradenstva prostredníctvom liniek pomoci.</w:t>
      </w:r>
    </w:p>
    <w:p w:rsidR="004D48A5" w:rsidRPr="00583668" w:rsidRDefault="004D48A5" w:rsidP="004D48A5">
      <w:pPr>
        <w:pStyle w:val="Vlada"/>
        <w:spacing w:before="0"/>
        <w:ind w:left="1560" w:hanging="709"/>
        <w:jc w:val="both"/>
        <w:rPr>
          <w:b w:val="0"/>
          <w:sz w:val="24"/>
          <w:szCs w:val="28"/>
        </w:rPr>
      </w:pPr>
    </w:p>
    <w:p w:rsidR="004D48A5" w:rsidRPr="00583668" w:rsidRDefault="004D48A5" w:rsidP="004D48A5">
      <w:pPr>
        <w:rPr>
          <w:rFonts w:ascii="Times New Roman" w:hAnsi="Times New Roman"/>
          <w:b/>
          <w:bCs/>
          <w:sz w:val="32"/>
          <w:szCs w:val="32"/>
          <w:lang w:eastAsia="sk-SK"/>
        </w:rPr>
      </w:pPr>
    </w:p>
    <w:p w:rsidR="004D48A5" w:rsidRDefault="004D48A5"/>
    <w:sectPr w:rsidR="004D48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EF1" w:rsidRDefault="00645EF1" w:rsidP="004D48A5">
      <w:pPr>
        <w:spacing w:after="0" w:line="240" w:lineRule="auto"/>
      </w:pPr>
      <w:r>
        <w:separator/>
      </w:r>
    </w:p>
  </w:endnote>
  <w:endnote w:type="continuationSeparator" w:id="0">
    <w:p w:rsidR="00645EF1" w:rsidRDefault="00645EF1" w:rsidP="004D4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Interkvop Text">
    <w:altName w:val="Times New Roman"/>
    <w:panose1 w:val="00000000000000000000"/>
    <w:charset w:val="00"/>
    <w:family w:val="modern"/>
    <w:notTrueType/>
    <w:pitch w:val="variable"/>
    <w:sig w:usb0="E0000AFF" w:usb1="5200A1FF" w:usb2="00000021"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8A5" w:rsidRDefault="004D48A5" w:rsidP="004D48A5">
    <w:pPr>
      <w:pStyle w:val="Pta"/>
    </w:pPr>
  </w:p>
  <w:p w:rsidR="004D48A5" w:rsidRDefault="004D48A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8A5" w:rsidRDefault="004D48A5" w:rsidP="00AF5BEA">
    <w:pPr>
      <w:ind w:right="-1134" w:hanging="1134"/>
    </w:pPr>
  </w:p>
  <w:p w:rsidR="004D48A5" w:rsidRDefault="004D48A5" w:rsidP="00AF5BE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EF1" w:rsidRDefault="00645EF1" w:rsidP="004D48A5">
      <w:pPr>
        <w:spacing w:after="0" w:line="240" w:lineRule="auto"/>
      </w:pPr>
      <w:r>
        <w:separator/>
      </w:r>
    </w:p>
  </w:footnote>
  <w:footnote w:type="continuationSeparator" w:id="0">
    <w:p w:rsidR="00645EF1" w:rsidRDefault="00645EF1" w:rsidP="004D48A5">
      <w:pPr>
        <w:spacing w:after="0" w:line="240" w:lineRule="auto"/>
      </w:pPr>
      <w:r>
        <w:continuationSeparator/>
      </w:r>
    </w:p>
  </w:footnote>
  <w:footnote w:id="1">
    <w:p w:rsidR="004D48A5" w:rsidRPr="002279AE" w:rsidRDefault="004D48A5" w:rsidP="004D48A5">
      <w:pPr>
        <w:pStyle w:val="Textpoznmkypodiarou"/>
        <w:jc w:val="both"/>
      </w:pPr>
      <w:r w:rsidRPr="002279AE">
        <w:rPr>
          <w:rStyle w:val="Odkaznapoznmkupodiarou"/>
        </w:rPr>
        <w:footnoteRef/>
      </w:r>
      <w:r w:rsidRPr="002279AE">
        <w:t xml:space="preserve"> § 88</w:t>
      </w:r>
      <w:r w:rsidRPr="00AD3523">
        <w:t xml:space="preserve"> zákona </w:t>
      </w:r>
      <w:r>
        <w:t xml:space="preserve">č. </w:t>
      </w:r>
      <w:r w:rsidRPr="00AD3523">
        <w:t>363/2011 Z.</w:t>
      </w:r>
      <w:r w:rsidRPr="00AD3523">
        <w:rPr>
          <w:b/>
        </w:rPr>
        <w:t xml:space="preserve"> </w:t>
      </w:r>
      <w:r w:rsidRPr="00AD3523">
        <w:t>z.</w:t>
      </w:r>
      <w:r w:rsidRPr="00AD3523">
        <w:rPr>
          <w:b/>
        </w:rPr>
        <w:t xml:space="preserve"> </w:t>
      </w:r>
      <w:r w:rsidRPr="00AD3523">
        <w:t>o rozsahu a podmienkach úhrady liekov, zdravotníckych pomôcok a dietetických potravín na základe verejného zdravotného poistenia a o zmene a doplnení niektorých zákonov v znení neskorších predpisov.</w:t>
      </w:r>
    </w:p>
  </w:footnote>
  <w:footnote w:id="2">
    <w:p w:rsidR="004D48A5" w:rsidRPr="008F6538" w:rsidRDefault="004D48A5" w:rsidP="004D48A5">
      <w:pPr>
        <w:pStyle w:val="Textpoznmkypodiarou"/>
        <w:jc w:val="both"/>
        <w:rPr>
          <w:sz w:val="18"/>
          <w:szCs w:val="18"/>
        </w:rPr>
      </w:pPr>
      <w:r w:rsidRPr="008F6538">
        <w:rPr>
          <w:rStyle w:val="Odkaznapoznmkupodiarou"/>
          <w:sz w:val="18"/>
          <w:szCs w:val="18"/>
        </w:rPr>
        <w:footnoteRef/>
      </w:r>
      <w:r w:rsidRPr="008F6538">
        <w:rPr>
          <w:sz w:val="18"/>
          <w:szCs w:val="18"/>
        </w:rPr>
        <w:t xml:space="preserve"> § 88 zákona č. 363/2011 Z. z. o rozsahu a podmienkach úhrady liekov, zdravotníckych pomôcok a dietetických potravín na základe verejného zdravotného poistenia a o zmene a doplnení niektorých zákonov v znení neskorších predpisov</w:t>
      </w:r>
      <w:r>
        <w:rPr>
          <w:sz w:val="18"/>
          <w:szCs w:val="18"/>
        </w:rPr>
        <w:t>.</w:t>
      </w:r>
      <w:r w:rsidRPr="008F6538">
        <w:rPr>
          <w:sz w:val="18"/>
          <w:szCs w:val="18"/>
        </w:rPr>
        <w:t xml:space="preserve"> </w:t>
      </w:r>
    </w:p>
  </w:footnote>
  <w:footnote w:id="3">
    <w:p w:rsidR="004D48A5" w:rsidRDefault="004D48A5" w:rsidP="004D48A5">
      <w:pPr>
        <w:pStyle w:val="Textpoznmkypodiarou"/>
      </w:pPr>
      <w:r w:rsidRPr="008F6538">
        <w:rPr>
          <w:rStyle w:val="Odkaznapoznmkupodiarou"/>
          <w:sz w:val="18"/>
          <w:szCs w:val="18"/>
        </w:rPr>
        <w:footnoteRef/>
      </w:r>
      <w:r w:rsidRPr="008F6538">
        <w:rPr>
          <w:sz w:val="18"/>
          <w:szCs w:val="18"/>
        </w:rPr>
        <w:t xml:space="preserve"> Napr. III. ÚS 212/2011</w:t>
      </w:r>
      <w:r>
        <w:rPr>
          <w:sz w:val="18"/>
          <w:szCs w:val="18"/>
        </w:rPr>
        <w:t xml:space="preserve">, </w:t>
      </w:r>
      <w:r w:rsidRPr="008F6538">
        <w:rPr>
          <w:sz w:val="18"/>
          <w:szCs w:val="18"/>
        </w:rPr>
        <w:t>III. ÚS 243/2010</w:t>
      </w:r>
      <w:r>
        <w:rPr>
          <w:sz w:val="18"/>
          <w:szCs w:val="18"/>
        </w:rPr>
        <w:t>.</w:t>
      </w:r>
    </w:p>
  </w:footnote>
  <w:footnote w:id="4">
    <w:p w:rsidR="004D48A5" w:rsidRPr="008F6538" w:rsidRDefault="004D48A5" w:rsidP="004D48A5">
      <w:pPr>
        <w:pStyle w:val="Textpoznmkypodiarou"/>
        <w:jc w:val="both"/>
        <w:rPr>
          <w:sz w:val="18"/>
          <w:szCs w:val="18"/>
        </w:rPr>
      </w:pPr>
      <w:r w:rsidRPr="008F6538">
        <w:rPr>
          <w:rStyle w:val="Odkaznapoznmkupodiarou"/>
          <w:sz w:val="18"/>
          <w:szCs w:val="18"/>
        </w:rPr>
        <w:footnoteRef/>
      </w:r>
      <w:r w:rsidRPr="008F6538">
        <w:rPr>
          <w:sz w:val="18"/>
          <w:szCs w:val="18"/>
        </w:rPr>
        <w:t xml:space="preserve"> Rozsudok Najvyššieho súdu Slovenskej republiky, sp. zn. 9Sžsk/11/2016.</w:t>
      </w:r>
    </w:p>
  </w:footnote>
  <w:footnote w:id="5">
    <w:p w:rsidR="004D48A5" w:rsidRPr="008F6538" w:rsidRDefault="004D48A5" w:rsidP="004D48A5">
      <w:pPr>
        <w:pStyle w:val="Textpoznmkypodiarou"/>
        <w:jc w:val="both"/>
        <w:rPr>
          <w:i/>
          <w:sz w:val="18"/>
          <w:szCs w:val="18"/>
        </w:rPr>
      </w:pPr>
      <w:r w:rsidRPr="008F6538">
        <w:rPr>
          <w:rStyle w:val="Odkaznapoznmkupodiarou"/>
          <w:sz w:val="18"/>
          <w:szCs w:val="18"/>
        </w:rPr>
        <w:footnoteRef/>
      </w:r>
      <w:r w:rsidRPr="008F6538">
        <w:rPr>
          <w:sz w:val="18"/>
          <w:szCs w:val="18"/>
        </w:rPr>
        <w:t xml:space="preserve"> Uznesenie Krajského súdu v Žiline, sp. zn. 21S/27/2014, v ktorom krajský súd</w:t>
      </w:r>
      <w:r>
        <w:rPr>
          <w:sz w:val="18"/>
          <w:szCs w:val="18"/>
        </w:rPr>
        <w:t>,</w:t>
      </w:r>
      <w:r w:rsidRPr="008F6538">
        <w:rPr>
          <w:sz w:val="18"/>
          <w:szCs w:val="18"/>
        </w:rPr>
        <w:t xml:space="preserve"> okrem iného</w:t>
      </w:r>
      <w:r>
        <w:rPr>
          <w:sz w:val="18"/>
          <w:szCs w:val="18"/>
        </w:rPr>
        <w:t>,</w:t>
      </w:r>
      <w:r w:rsidRPr="008F6538">
        <w:rPr>
          <w:sz w:val="18"/>
          <w:szCs w:val="18"/>
        </w:rPr>
        <w:t xml:space="preserve"> uviedol: </w:t>
      </w:r>
      <w:r w:rsidRPr="008F6538">
        <w:rPr>
          <w:i/>
          <w:sz w:val="18"/>
          <w:szCs w:val="18"/>
        </w:rPr>
        <w:t>„Podľa názoru krajského súdu aj keď v zmysle § 84 ods. 1 zákona o liekoch sa na konanie podľa tohto zákona nevzťahuje Správny poriadok a zároveň ani podľa § 43 ods. 11 zákona o dohľade sa na výkon dohľadu nevzťahuje Správny poriadok, vylúčenie aplikácie Správneho poriadku a absencia osobitnej procesnej úpravy nemôže v právnom štáte znamenať priestor pre bezbrehú ľubovôľu verejnoprávneho subjektu. V právno-aplikačnej praxi by v takom prípade mali byť použité všeobecné požiadavky na konania verejnoprávnych subjektov a právne princípy resp. štandard všeobecných pravidiel správneho práva.“</w:t>
      </w:r>
    </w:p>
  </w:footnote>
  <w:footnote w:id="6">
    <w:p w:rsidR="004D48A5" w:rsidRPr="008F6538" w:rsidRDefault="004D48A5" w:rsidP="004D48A5">
      <w:pPr>
        <w:pStyle w:val="Textpoznmkypodiarou"/>
        <w:rPr>
          <w:sz w:val="18"/>
          <w:szCs w:val="18"/>
        </w:rPr>
      </w:pPr>
      <w:r w:rsidRPr="008F6538">
        <w:rPr>
          <w:rStyle w:val="Odkaznapoznmkupodiarou"/>
          <w:sz w:val="18"/>
          <w:szCs w:val="18"/>
        </w:rPr>
        <w:footnoteRef/>
      </w:r>
      <w:r w:rsidRPr="008F6538">
        <w:rPr>
          <w:sz w:val="18"/>
          <w:szCs w:val="18"/>
        </w:rPr>
        <w:t xml:space="preserve"> Napr. rozsudok Najvyššieho súdu Slovenskej republiky, sp. zn. 3Sžo/202/2015.</w:t>
      </w:r>
    </w:p>
  </w:footnote>
  <w:footnote w:id="7">
    <w:p w:rsidR="004D48A5" w:rsidRPr="008F6538" w:rsidRDefault="004D48A5" w:rsidP="004D48A5">
      <w:pPr>
        <w:pStyle w:val="Textpoznmkypodiarou"/>
        <w:jc w:val="both"/>
        <w:rPr>
          <w:sz w:val="18"/>
          <w:szCs w:val="18"/>
        </w:rPr>
      </w:pPr>
      <w:r w:rsidRPr="008F6538">
        <w:rPr>
          <w:rStyle w:val="Odkaznapoznmkupodiarou"/>
          <w:sz w:val="18"/>
          <w:szCs w:val="18"/>
        </w:rPr>
        <w:footnoteRef/>
      </w:r>
      <w:r w:rsidRPr="008F6538">
        <w:rPr>
          <w:sz w:val="18"/>
          <w:szCs w:val="18"/>
        </w:rPr>
        <w:t xml:space="preserve"> Rozsudok Najvyššieho súdu Slovenskej republiky</w:t>
      </w:r>
      <w:r>
        <w:rPr>
          <w:sz w:val="18"/>
          <w:szCs w:val="18"/>
        </w:rPr>
        <w:t>,</w:t>
      </w:r>
      <w:r w:rsidRPr="008F6538">
        <w:rPr>
          <w:sz w:val="18"/>
          <w:szCs w:val="18"/>
        </w:rPr>
        <w:t xml:space="preserve"> sp. zn. 1Sžr/68/2011, bod 73 a</w:t>
      </w:r>
      <w:r>
        <w:rPr>
          <w:sz w:val="18"/>
          <w:szCs w:val="18"/>
        </w:rPr>
        <w:t> </w:t>
      </w:r>
      <w:r w:rsidRPr="008F6538">
        <w:rPr>
          <w:sz w:val="18"/>
          <w:szCs w:val="18"/>
        </w:rPr>
        <w:t>74</w:t>
      </w:r>
      <w:r>
        <w:rPr>
          <w:sz w:val="18"/>
          <w:szCs w:val="18"/>
        </w:rPr>
        <w:t>.</w:t>
      </w:r>
    </w:p>
  </w:footnote>
  <w:footnote w:id="8">
    <w:p w:rsidR="004D48A5" w:rsidRPr="008F6538" w:rsidRDefault="004D48A5" w:rsidP="004D48A5">
      <w:pPr>
        <w:pStyle w:val="Textpoznmkypodiarou"/>
        <w:jc w:val="both"/>
        <w:rPr>
          <w:sz w:val="18"/>
          <w:szCs w:val="18"/>
        </w:rPr>
      </w:pPr>
      <w:r w:rsidRPr="008F6538">
        <w:rPr>
          <w:rStyle w:val="Odkaznapoznmkupodiarou"/>
          <w:sz w:val="18"/>
          <w:szCs w:val="18"/>
        </w:rPr>
        <w:footnoteRef/>
      </w:r>
      <w:r w:rsidRPr="008F6538">
        <w:rPr>
          <w:sz w:val="18"/>
          <w:szCs w:val="18"/>
        </w:rPr>
        <w:t xml:space="preserve"> Napr. rozhodnutia Najvyššieho súdu Slovenskej republiky sp. zn. 1Sžo 37/2009, sp. zn. 8Sžo 182/2009, sp. zn. 1Sžo 281/2009</w:t>
      </w:r>
      <w:r>
        <w:rPr>
          <w:sz w:val="18"/>
          <w:szCs w:val="18"/>
        </w:rPr>
        <w:t>.</w:t>
      </w:r>
    </w:p>
  </w:footnote>
  <w:footnote w:id="9">
    <w:p w:rsidR="004D48A5" w:rsidRPr="008F6538" w:rsidRDefault="004D48A5" w:rsidP="004D48A5">
      <w:pPr>
        <w:pStyle w:val="Textpoznmkypodiarou"/>
        <w:jc w:val="both"/>
        <w:rPr>
          <w:sz w:val="18"/>
          <w:szCs w:val="18"/>
        </w:rPr>
      </w:pPr>
      <w:r w:rsidRPr="008F6538">
        <w:rPr>
          <w:rStyle w:val="Odkaznapoznmkupodiarou"/>
          <w:sz w:val="18"/>
          <w:szCs w:val="18"/>
        </w:rPr>
        <w:footnoteRef/>
      </w:r>
      <w:r w:rsidRPr="008F6538">
        <w:rPr>
          <w:sz w:val="18"/>
          <w:szCs w:val="18"/>
        </w:rPr>
        <w:t xml:space="preserve"> Napr. rozhodnutia Najvyššieho súdu Slovenskej republiky sp. zn. 1Sžo 37/2009, sp. zn. 8Sžo 182/2009, sp. zn. 1Sžo 281/2009.</w:t>
      </w:r>
    </w:p>
  </w:footnote>
  <w:footnote w:id="10">
    <w:p w:rsidR="004D48A5" w:rsidRPr="008F6538" w:rsidRDefault="004D48A5" w:rsidP="004D48A5">
      <w:pPr>
        <w:pStyle w:val="Textpoznmkypodiarou"/>
        <w:jc w:val="both"/>
        <w:rPr>
          <w:sz w:val="18"/>
          <w:szCs w:val="18"/>
        </w:rPr>
      </w:pPr>
      <w:r w:rsidRPr="008F6538">
        <w:rPr>
          <w:rStyle w:val="Odkaznapoznmkupodiarou"/>
          <w:sz w:val="18"/>
          <w:szCs w:val="18"/>
        </w:rPr>
        <w:footnoteRef/>
      </w:r>
      <w:r w:rsidRPr="008F6538">
        <w:rPr>
          <w:sz w:val="18"/>
          <w:szCs w:val="18"/>
        </w:rPr>
        <w:t xml:space="preserve"> Zdravotná poisťovňa môže po vopred udelenom súhlase poistencovi uhradiť najviac vo výške podľa odseku 16 liek zaradený v zozname kategorizovaných liekov, ktorý nespĺňa preskripčné obmedzenie alebo indikačné obmedzenie.</w:t>
      </w:r>
    </w:p>
  </w:footnote>
  <w:footnote w:id="11">
    <w:p w:rsidR="004D48A5" w:rsidRPr="008F6538" w:rsidRDefault="004D48A5" w:rsidP="004D48A5">
      <w:pPr>
        <w:pStyle w:val="Odsekzoznamu"/>
        <w:spacing w:line="240" w:lineRule="auto"/>
        <w:ind w:left="0"/>
        <w:jc w:val="both"/>
        <w:rPr>
          <w:sz w:val="18"/>
          <w:szCs w:val="18"/>
        </w:rPr>
      </w:pPr>
      <w:r w:rsidRPr="008F6538">
        <w:rPr>
          <w:rStyle w:val="Odkaznapoznmkupodiarou"/>
          <w:rFonts w:ascii="Interkvop Text" w:hAnsi="Interkvop Text"/>
          <w:sz w:val="18"/>
          <w:szCs w:val="18"/>
        </w:rPr>
        <w:footnoteRef/>
      </w:r>
      <w:r w:rsidRPr="008F6538">
        <w:rPr>
          <w:rFonts w:ascii="Interkvop Text" w:hAnsi="Interkvop Text"/>
          <w:sz w:val="18"/>
          <w:szCs w:val="18"/>
        </w:rPr>
        <w:t xml:space="preserve"> Podľa § 88 ods. 6 zákona o úhrade liekov zdravotná poisťovňa uhradí poistencovi sumu rovnajúcu sa doplatku poistenca za liek, zdravotnícku pomôcku alebo dietetickú potravinu, ak sú splnené kritériá, ktoré určuje zdravotná poisťovňa a zverejňuje ich na svojom webovom sídle; úhradu odsúhlasuje zdravotná poisťovňa na základe písomnej žiadosti poistenca.</w:t>
      </w:r>
    </w:p>
  </w:footnote>
  <w:footnote w:id="12">
    <w:p w:rsidR="004D48A5" w:rsidRPr="008F6538" w:rsidRDefault="004D48A5" w:rsidP="004D48A5">
      <w:pPr>
        <w:pStyle w:val="Textpoznmkypodiarou"/>
        <w:jc w:val="both"/>
        <w:rPr>
          <w:i/>
          <w:sz w:val="18"/>
          <w:szCs w:val="18"/>
        </w:rPr>
      </w:pPr>
      <w:r w:rsidRPr="008F6538">
        <w:rPr>
          <w:rStyle w:val="Odkaznapoznmkupodiarou"/>
          <w:sz w:val="18"/>
          <w:szCs w:val="18"/>
        </w:rPr>
        <w:footnoteRef/>
      </w:r>
      <w:r>
        <w:rPr>
          <w:sz w:val="18"/>
          <w:szCs w:val="18"/>
        </w:rPr>
        <w:t xml:space="preserve"> Vo všeobecných kritériách VšZP v 6. bode je uvedené nasledujúce kritérium:</w:t>
      </w:r>
      <w:r w:rsidRPr="008F6538">
        <w:rPr>
          <w:sz w:val="18"/>
          <w:szCs w:val="18"/>
        </w:rPr>
        <w:t xml:space="preserve"> </w:t>
      </w:r>
      <w:r>
        <w:rPr>
          <w:sz w:val="18"/>
          <w:szCs w:val="18"/>
        </w:rPr>
        <w:t>„</w:t>
      </w:r>
      <w:r w:rsidRPr="008F6538">
        <w:rPr>
          <w:i/>
          <w:sz w:val="18"/>
          <w:szCs w:val="18"/>
        </w:rPr>
        <w:t>Predmetom Žiadosti je liek, ZdP, DP v terapeutickej indikácii, ktorá už bola posudzovaná v procese kategorizácie na MZ SR, ale na základe Rozhodnutia MZ SR nedošlo k zaradeniu do zoznamu kategorizovaných liekov, ZdP , DP; to neplatí, ak má VšZP uzatvorenú s držiteľom registrácie lieku Zmluvu o podmienkach úhrady lieku v zmysle § 7a Zákona.</w:t>
      </w:r>
      <w:r>
        <w:rPr>
          <w:i/>
          <w:sz w:val="18"/>
          <w:szCs w:val="18"/>
        </w:rPr>
        <w:t>“</w:t>
      </w:r>
    </w:p>
  </w:footnote>
  <w:footnote w:id="13">
    <w:p w:rsidR="004D48A5" w:rsidRPr="008F6538" w:rsidRDefault="004D48A5" w:rsidP="004D48A5">
      <w:pPr>
        <w:pStyle w:val="Textpoznmkypodiarou"/>
        <w:jc w:val="both"/>
        <w:rPr>
          <w:sz w:val="18"/>
          <w:szCs w:val="18"/>
        </w:rPr>
      </w:pPr>
      <w:r w:rsidRPr="008F6538">
        <w:rPr>
          <w:rStyle w:val="Odkaznapoznmkupodiarou"/>
          <w:sz w:val="18"/>
          <w:szCs w:val="18"/>
        </w:rPr>
        <w:footnoteRef/>
      </w:r>
      <w:r w:rsidRPr="008F6538">
        <w:rPr>
          <w:sz w:val="18"/>
          <w:szCs w:val="18"/>
        </w:rPr>
        <w:t xml:space="preserve"> Podľa § 88 ods. 9 zákona o úhrade liekov úhradu podľa odsekov 7 a 8 môže zdravotná poisťovňa odsúhlasiť rozhodnutím v odôvodnených prípadoch najmä vtedy, ak je poskytnutie lieku, zdravotníckej pomôcky alebo dietetickej potraviny s prihliadnutím na zdravotný stav poistenca jedinou vhodnou možnosťou; úhradu odsúhlasuje zdravotná poisťovňa vydaním stanoviska na základe písomnej žiadosti poskytovateľa. Zdravotná poisťovňa rozhodne o žiadosti do 15 pracovných dní od doručenia úplnej žiadosti zdravotnej poisťovni alebo do 10 pracovných dní od doručenia úplnej žiadosti zdravotnej poisťovni, ak ide o opakovanú žiadosť; žiadosť je úplná, ak obsahuje všetky náležitosti a prílohy, ktoré zdravotná poisťovňa zverejňuje na svojom webovom sídle.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8A5" w:rsidRPr="00EA48CE" w:rsidRDefault="004D48A5" w:rsidP="00EA48CE">
    <w:pPr>
      <w:pStyle w:val="Hlavika"/>
      <w:ind w:hanging="70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251DB"/>
    <w:multiLevelType w:val="hybridMultilevel"/>
    <w:tmpl w:val="7E38CA0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DF621AA"/>
    <w:multiLevelType w:val="hybridMultilevel"/>
    <w:tmpl w:val="7542007C"/>
    <w:lvl w:ilvl="0" w:tplc="041B0015">
      <w:start w:val="1"/>
      <w:numFmt w:val="upp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7477BAE"/>
    <w:multiLevelType w:val="hybridMultilevel"/>
    <w:tmpl w:val="AA7CFA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6AE11FD"/>
    <w:multiLevelType w:val="multilevel"/>
    <w:tmpl w:val="9F68E55A"/>
    <w:lvl w:ilvl="0">
      <w:start w:val="1"/>
      <w:numFmt w:val="upperLetter"/>
      <w:lvlText w:val="%1."/>
      <w:lvlJc w:val="left"/>
      <w:pPr>
        <w:ind w:left="686" w:hanging="550"/>
      </w:pPr>
      <w:rPr>
        <w:rFonts w:ascii="Times New Roman" w:eastAsia="Times New Roman" w:hAnsi="Times New Roman" w:cs="Times New Roman" w:hint="default"/>
        <w:b/>
        <w:bCs/>
        <w:spacing w:val="-2"/>
        <w:w w:val="100"/>
        <w:sz w:val="28"/>
        <w:szCs w:val="28"/>
        <w:lang w:val="sk-SK" w:eastAsia="en-US" w:bidi="ar-SA"/>
      </w:rPr>
    </w:lvl>
    <w:lvl w:ilvl="1">
      <w:start w:val="1"/>
      <w:numFmt w:val="decimal"/>
      <w:lvlText w:val="%1.%2."/>
      <w:lvlJc w:val="left"/>
      <w:pPr>
        <w:ind w:left="1391" w:hanging="716"/>
      </w:pPr>
      <w:rPr>
        <w:rFonts w:ascii="Times New Roman" w:eastAsia="Times New Roman" w:hAnsi="Times New Roman" w:cs="Times New Roman" w:hint="default"/>
        <w:w w:val="99"/>
        <w:sz w:val="24"/>
        <w:szCs w:val="24"/>
        <w:lang w:val="sk-SK" w:eastAsia="en-US" w:bidi="ar-SA"/>
      </w:rPr>
    </w:lvl>
    <w:lvl w:ilvl="2">
      <w:numFmt w:val="bullet"/>
      <w:lvlText w:val="•"/>
      <w:lvlJc w:val="left"/>
      <w:pPr>
        <w:ind w:left="2282" w:hanging="716"/>
      </w:pPr>
      <w:rPr>
        <w:rFonts w:hint="default"/>
        <w:lang w:val="sk-SK" w:eastAsia="en-US" w:bidi="ar-SA"/>
      </w:rPr>
    </w:lvl>
    <w:lvl w:ilvl="3">
      <w:numFmt w:val="bullet"/>
      <w:lvlText w:val="•"/>
      <w:lvlJc w:val="left"/>
      <w:pPr>
        <w:ind w:left="3165" w:hanging="716"/>
      </w:pPr>
      <w:rPr>
        <w:rFonts w:hint="default"/>
        <w:lang w:val="sk-SK" w:eastAsia="en-US" w:bidi="ar-SA"/>
      </w:rPr>
    </w:lvl>
    <w:lvl w:ilvl="4">
      <w:numFmt w:val="bullet"/>
      <w:lvlText w:val="•"/>
      <w:lvlJc w:val="left"/>
      <w:pPr>
        <w:ind w:left="4048" w:hanging="716"/>
      </w:pPr>
      <w:rPr>
        <w:rFonts w:hint="default"/>
        <w:lang w:val="sk-SK" w:eastAsia="en-US" w:bidi="ar-SA"/>
      </w:rPr>
    </w:lvl>
    <w:lvl w:ilvl="5">
      <w:numFmt w:val="bullet"/>
      <w:lvlText w:val="•"/>
      <w:lvlJc w:val="left"/>
      <w:pPr>
        <w:ind w:left="4931" w:hanging="716"/>
      </w:pPr>
      <w:rPr>
        <w:rFonts w:hint="default"/>
        <w:lang w:val="sk-SK" w:eastAsia="en-US" w:bidi="ar-SA"/>
      </w:rPr>
    </w:lvl>
    <w:lvl w:ilvl="6">
      <w:numFmt w:val="bullet"/>
      <w:lvlText w:val="•"/>
      <w:lvlJc w:val="left"/>
      <w:pPr>
        <w:ind w:left="5814" w:hanging="716"/>
      </w:pPr>
      <w:rPr>
        <w:rFonts w:hint="default"/>
        <w:lang w:val="sk-SK" w:eastAsia="en-US" w:bidi="ar-SA"/>
      </w:rPr>
    </w:lvl>
    <w:lvl w:ilvl="7">
      <w:numFmt w:val="bullet"/>
      <w:lvlText w:val="•"/>
      <w:lvlJc w:val="left"/>
      <w:pPr>
        <w:ind w:left="6697" w:hanging="716"/>
      </w:pPr>
      <w:rPr>
        <w:rFonts w:hint="default"/>
        <w:lang w:val="sk-SK" w:eastAsia="en-US" w:bidi="ar-SA"/>
      </w:rPr>
    </w:lvl>
    <w:lvl w:ilvl="8">
      <w:numFmt w:val="bullet"/>
      <w:lvlText w:val="•"/>
      <w:lvlJc w:val="left"/>
      <w:pPr>
        <w:ind w:left="7580" w:hanging="716"/>
      </w:pPr>
      <w:rPr>
        <w:rFonts w:hint="default"/>
        <w:lang w:val="sk-SK" w:eastAsia="en-US" w:bidi="ar-SA"/>
      </w:rPr>
    </w:lvl>
  </w:abstractNum>
  <w:abstractNum w:abstractNumId="4" w15:restartNumberingAfterBreak="0">
    <w:nsid w:val="6320051C"/>
    <w:multiLevelType w:val="hybridMultilevel"/>
    <w:tmpl w:val="315C12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B684E8F"/>
    <w:multiLevelType w:val="hybridMultilevel"/>
    <w:tmpl w:val="1110FA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72667861"/>
    <w:multiLevelType w:val="hybridMultilevel"/>
    <w:tmpl w:val="EF3A04C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783C5A8A"/>
    <w:multiLevelType w:val="hybridMultilevel"/>
    <w:tmpl w:val="E696BE2A"/>
    <w:lvl w:ilvl="0" w:tplc="AAB692C4">
      <w:start w:val="20"/>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0"/>
  </w:num>
  <w:num w:numId="5">
    <w:abstractNumId w:val="5"/>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503"/>
    <w:rsid w:val="0003219E"/>
    <w:rsid w:val="000D6F01"/>
    <w:rsid w:val="00100D63"/>
    <w:rsid w:val="0011474F"/>
    <w:rsid w:val="001979FB"/>
    <w:rsid w:val="002F7076"/>
    <w:rsid w:val="00335D54"/>
    <w:rsid w:val="00395503"/>
    <w:rsid w:val="00476002"/>
    <w:rsid w:val="004D48A5"/>
    <w:rsid w:val="0053255F"/>
    <w:rsid w:val="005A5B29"/>
    <w:rsid w:val="00645EF1"/>
    <w:rsid w:val="006E4DA6"/>
    <w:rsid w:val="007859A3"/>
    <w:rsid w:val="00790C47"/>
    <w:rsid w:val="007F6EE4"/>
    <w:rsid w:val="00820640"/>
    <w:rsid w:val="00887558"/>
    <w:rsid w:val="00894262"/>
    <w:rsid w:val="009F21F3"/>
    <w:rsid w:val="00A1054C"/>
    <w:rsid w:val="00A53A0D"/>
    <w:rsid w:val="00A84C68"/>
    <w:rsid w:val="00AE415E"/>
    <w:rsid w:val="00B20436"/>
    <w:rsid w:val="00B90AE5"/>
    <w:rsid w:val="00BA052A"/>
    <w:rsid w:val="00C73B30"/>
    <w:rsid w:val="00D94281"/>
    <w:rsid w:val="00DD0965"/>
    <w:rsid w:val="00E57D7B"/>
    <w:rsid w:val="00EA743C"/>
    <w:rsid w:val="00EE7DA0"/>
    <w:rsid w:val="00F23D1B"/>
    <w:rsid w:val="00FC6408"/>
    <w:rsid w:val="00FD32B2"/>
    <w:rsid w:val="00FF6AA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E7BFC7B1-2035-401C-AA59-AAA7BD31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95503"/>
  </w:style>
  <w:style w:type="paragraph" w:styleId="Nadpis1">
    <w:name w:val="heading 1"/>
    <w:aliases w:val="Čo robí (časť)"/>
    <w:basedOn w:val="Normlny"/>
    <w:next w:val="Normlny"/>
    <w:link w:val="Nadpis1Char"/>
    <w:uiPriority w:val="9"/>
    <w:qFormat/>
    <w:rsid w:val="004D48A5"/>
    <w:pPr>
      <w:keepNext/>
      <w:suppressAutoHyphens/>
      <w:spacing w:before="240" w:after="60" w:line="276" w:lineRule="auto"/>
      <w:outlineLvl w:val="0"/>
    </w:pPr>
    <w:rPr>
      <w:rFonts w:ascii="Cambria" w:eastAsia="Times New Roman" w:hAnsi="Cambria" w:cs="Times New Roman"/>
      <w:b/>
      <w:bCs/>
      <w:kern w:val="32"/>
      <w:sz w:val="32"/>
      <w:szCs w:val="32"/>
      <w:lang w:val="x-none"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List Paragraph Char Char Char,Indicator Text,Numbered Para 1,List Paragraph à moi,Odsek zoznamu1,Dot pt,No Spacing1,Odsek zoznamu4,LISTA,Listaszerű bekezdés2,Listaszerű bekezdés3,Listaszerű bekezdés1,List Paragraph1,3,body,Odsek zoznamu2,2"/>
    <w:basedOn w:val="Normlny"/>
    <w:link w:val="OdsekzoznamuChar"/>
    <w:uiPriority w:val="34"/>
    <w:qFormat/>
    <w:rsid w:val="00395503"/>
    <w:pPr>
      <w:suppressAutoHyphens/>
      <w:spacing w:after="0" w:line="276" w:lineRule="auto"/>
      <w:ind w:left="720"/>
      <w:contextualSpacing/>
    </w:pPr>
    <w:rPr>
      <w:rFonts w:ascii="Calibri" w:eastAsia="Times New Roman" w:hAnsi="Calibri" w:cs="Times New Roman"/>
      <w:lang w:eastAsia="ar-SA"/>
    </w:rPr>
  </w:style>
  <w:style w:type="paragraph" w:customStyle="1" w:styleId="Vlada">
    <w:name w:val="Vlada"/>
    <w:basedOn w:val="Normlny"/>
    <w:rsid w:val="00395503"/>
    <w:pPr>
      <w:spacing w:before="480" w:after="120" w:line="240" w:lineRule="auto"/>
    </w:pPr>
    <w:rPr>
      <w:rFonts w:ascii="Times New Roman" w:eastAsia="Times New Roman" w:hAnsi="Times New Roman" w:cs="Times New Roman"/>
      <w:b/>
      <w:bCs/>
      <w:sz w:val="32"/>
      <w:szCs w:val="32"/>
      <w:lang w:eastAsia="sk-SK"/>
    </w:rPr>
  </w:style>
  <w:style w:type="character" w:customStyle="1" w:styleId="Nadpis1Char">
    <w:name w:val="Nadpis 1 Char"/>
    <w:aliases w:val="Čo robí (časť) Char"/>
    <w:basedOn w:val="Predvolenpsmoodseku"/>
    <w:link w:val="Nadpis1"/>
    <w:uiPriority w:val="9"/>
    <w:rsid w:val="004D48A5"/>
    <w:rPr>
      <w:rFonts w:ascii="Cambria" w:eastAsia="Times New Roman" w:hAnsi="Cambria" w:cs="Times New Roman"/>
      <w:b/>
      <w:bCs/>
      <w:kern w:val="32"/>
      <w:sz w:val="32"/>
      <w:szCs w:val="32"/>
      <w:lang w:val="x-none" w:eastAsia="ar-SA"/>
    </w:rPr>
  </w:style>
  <w:style w:type="paragraph" w:customStyle="1" w:styleId="Zakladnystyl">
    <w:name w:val="Zakladny styl"/>
    <w:rsid w:val="004D48A5"/>
    <w:pPr>
      <w:spacing w:after="0" w:line="240" w:lineRule="auto"/>
    </w:pPr>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nhideWhenUsed/>
    <w:qFormat/>
    <w:rsid w:val="004D48A5"/>
    <w:pPr>
      <w:spacing w:after="0" w:line="240" w:lineRule="auto"/>
    </w:pPr>
    <w:rPr>
      <w:rFonts w:ascii="Times New Roman" w:eastAsia="Times New Roman" w:hAnsi="Times New Roman" w:cs="Times New Roman"/>
      <w:sz w:val="20"/>
      <w:szCs w:val="20"/>
      <w:lang w:eastAsia="sk-SK"/>
    </w:rPr>
  </w:style>
  <w:style w:type="character" w:customStyle="1" w:styleId="TextpoznmkypodiarouChar">
    <w:name w:val="Text poznámky pod čiarou Char"/>
    <w:basedOn w:val="Predvolenpsmoodseku"/>
    <w:link w:val="Textpoznmkypodiarou"/>
    <w:rsid w:val="004D48A5"/>
    <w:rPr>
      <w:rFonts w:ascii="Times New Roman" w:eastAsia="Times New Roman" w:hAnsi="Times New Roman" w:cs="Times New Roman"/>
      <w:sz w:val="20"/>
      <w:szCs w:val="20"/>
      <w:lang w:eastAsia="sk-SK"/>
    </w:rPr>
  </w:style>
  <w:style w:type="character" w:styleId="Odkaznapoznmkupodiarou">
    <w:name w:val="footnote reference"/>
    <w:unhideWhenUsed/>
    <w:rsid w:val="004D48A5"/>
    <w:rPr>
      <w:vertAlign w:val="superscript"/>
    </w:rPr>
  </w:style>
  <w:style w:type="character" w:customStyle="1" w:styleId="OdsekzoznamuChar">
    <w:name w:val="Odsek zoznamu Char"/>
    <w:aliases w:val="List Paragraph Char Char Char Char,Indicator Text Char,Numbered Para 1 Char,List Paragraph à moi Char,Odsek zoznamu1 Char,Dot pt Char,No Spacing1 Char,Odsek zoznamu4 Char,LISTA Char,Listaszerű bekezdés2 Char,Listaszerű bekezdés3 Char"/>
    <w:basedOn w:val="Predvolenpsmoodseku"/>
    <w:link w:val="Odsekzoznamu"/>
    <w:uiPriority w:val="34"/>
    <w:locked/>
    <w:rsid w:val="004D48A5"/>
    <w:rPr>
      <w:rFonts w:ascii="Calibri" w:eastAsia="Times New Roman" w:hAnsi="Calibri" w:cs="Times New Roman"/>
      <w:lang w:eastAsia="ar-SA"/>
    </w:rPr>
  </w:style>
  <w:style w:type="paragraph" w:styleId="Zkladntext">
    <w:name w:val="Body Text"/>
    <w:basedOn w:val="Normlny"/>
    <w:link w:val="ZkladntextChar"/>
    <w:uiPriority w:val="1"/>
    <w:qFormat/>
    <w:rsid w:val="004D48A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uiPriority w:val="1"/>
    <w:rsid w:val="004D48A5"/>
    <w:rPr>
      <w:rFonts w:ascii="Times New Roman" w:eastAsia="Times New Roman" w:hAnsi="Times New Roman" w:cs="Times New Roman"/>
      <w:sz w:val="24"/>
      <w:szCs w:val="24"/>
    </w:rPr>
  </w:style>
  <w:style w:type="character" w:styleId="Hypertextovprepojenie">
    <w:name w:val="Hyperlink"/>
    <w:rsid w:val="004D48A5"/>
    <w:rPr>
      <w:color w:val="0000FF"/>
      <w:u w:val="single"/>
    </w:rPr>
  </w:style>
  <w:style w:type="paragraph" w:styleId="Pta">
    <w:name w:val="footer"/>
    <w:basedOn w:val="Normlny"/>
    <w:link w:val="PtaChar"/>
    <w:uiPriority w:val="99"/>
    <w:rsid w:val="004D48A5"/>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PtaChar">
    <w:name w:val="Päta Char"/>
    <w:basedOn w:val="Predvolenpsmoodseku"/>
    <w:link w:val="Pta"/>
    <w:uiPriority w:val="99"/>
    <w:rsid w:val="004D48A5"/>
    <w:rPr>
      <w:rFonts w:ascii="Times New Roman" w:eastAsia="Times New Roman" w:hAnsi="Times New Roman" w:cs="Times New Roman"/>
      <w:sz w:val="24"/>
      <w:szCs w:val="24"/>
      <w:lang w:eastAsia="cs-CZ"/>
    </w:rPr>
  </w:style>
  <w:style w:type="paragraph" w:styleId="Hlavika">
    <w:name w:val="header"/>
    <w:basedOn w:val="Normlny"/>
    <w:link w:val="HlavikaChar"/>
    <w:uiPriority w:val="99"/>
    <w:unhideWhenUsed/>
    <w:rsid w:val="004D48A5"/>
    <w:pPr>
      <w:tabs>
        <w:tab w:val="center" w:pos="4536"/>
        <w:tab w:val="right" w:pos="9072"/>
      </w:tabs>
      <w:spacing w:after="200" w:line="276" w:lineRule="auto"/>
    </w:pPr>
    <w:rPr>
      <w:rFonts w:ascii="Interkvop Text" w:eastAsia="Calibri" w:hAnsi="Interkvop Text" w:cs="Times New Roman"/>
    </w:rPr>
  </w:style>
  <w:style w:type="character" w:customStyle="1" w:styleId="HlavikaChar">
    <w:name w:val="Hlavička Char"/>
    <w:basedOn w:val="Predvolenpsmoodseku"/>
    <w:link w:val="Hlavika"/>
    <w:uiPriority w:val="99"/>
    <w:rsid w:val="004D48A5"/>
    <w:rPr>
      <w:rFonts w:ascii="Interkvop Text" w:eastAsia="Calibri" w:hAnsi="Interkvop Text" w:cs="Times New Roman"/>
    </w:rPr>
  </w:style>
  <w:style w:type="character" w:styleId="Odkaznakomentr">
    <w:name w:val="annotation reference"/>
    <w:basedOn w:val="Predvolenpsmoodseku"/>
    <w:uiPriority w:val="99"/>
    <w:semiHidden/>
    <w:unhideWhenUsed/>
    <w:rsid w:val="00476002"/>
    <w:rPr>
      <w:sz w:val="16"/>
      <w:szCs w:val="16"/>
    </w:rPr>
  </w:style>
  <w:style w:type="paragraph" w:styleId="Textkomentra">
    <w:name w:val="annotation text"/>
    <w:basedOn w:val="Normlny"/>
    <w:link w:val="TextkomentraChar"/>
    <w:uiPriority w:val="99"/>
    <w:semiHidden/>
    <w:unhideWhenUsed/>
    <w:rsid w:val="00476002"/>
    <w:pPr>
      <w:spacing w:line="240" w:lineRule="auto"/>
    </w:pPr>
    <w:rPr>
      <w:sz w:val="20"/>
      <w:szCs w:val="20"/>
    </w:rPr>
  </w:style>
  <w:style w:type="character" w:customStyle="1" w:styleId="TextkomentraChar">
    <w:name w:val="Text komentára Char"/>
    <w:basedOn w:val="Predvolenpsmoodseku"/>
    <w:link w:val="Textkomentra"/>
    <w:uiPriority w:val="99"/>
    <w:semiHidden/>
    <w:rsid w:val="00476002"/>
    <w:rPr>
      <w:sz w:val="20"/>
      <w:szCs w:val="20"/>
    </w:rPr>
  </w:style>
  <w:style w:type="paragraph" w:styleId="Predmetkomentra">
    <w:name w:val="annotation subject"/>
    <w:basedOn w:val="Textkomentra"/>
    <w:next w:val="Textkomentra"/>
    <w:link w:val="PredmetkomentraChar"/>
    <w:uiPriority w:val="99"/>
    <w:semiHidden/>
    <w:unhideWhenUsed/>
    <w:rsid w:val="00476002"/>
    <w:rPr>
      <w:b/>
      <w:bCs/>
    </w:rPr>
  </w:style>
  <w:style w:type="character" w:customStyle="1" w:styleId="PredmetkomentraChar">
    <w:name w:val="Predmet komentára Char"/>
    <w:basedOn w:val="TextkomentraChar"/>
    <w:link w:val="Predmetkomentra"/>
    <w:uiPriority w:val="99"/>
    <w:semiHidden/>
    <w:rsid w:val="00476002"/>
    <w:rPr>
      <w:b/>
      <w:bCs/>
      <w:sz w:val="20"/>
      <w:szCs w:val="20"/>
    </w:rPr>
  </w:style>
  <w:style w:type="paragraph" w:styleId="Textbubliny">
    <w:name w:val="Balloon Text"/>
    <w:basedOn w:val="Normlny"/>
    <w:link w:val="TextbublinyChar"/>
    <w:uiPriority w:val="99"/>
    <w:semiHidden/>
    <w:unhideWhenUsed/>
    <w:rsid w:val="0047600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760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2.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3856</Words>
  <Characters>21985</Characters>
  <Application>Microsoft Office Word</Application>
  <DocSecurity>4</DocSecurity>
  <Lines>183</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AMBRUŠOVÁ Silvia</dc:creator>
  <cp:keywords/>
  <dc:description/>
  <cp:lastModifiedBy>AMBRUŠOVÁ Silvia</cp:lastModifiedBy>
  <cp:revision>2</cp:revision>
  <dcterms:created xsi:type="dcterms:W3CDTF">2024-02-19T13:13:00Z</dcterms:created>
  <dcterms:modified xsi:type="dcterms:W3CDTF">2024-02-19T13:13:00Z</dcterms:modified>
</cp:coreProperties>
</file>