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99E19" w14:textId="0A90EBDB" w:rsidR="00776DA2" w:rsidRDefault="003828B1" w:rsidP="00612C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Stanovisko</w:t>
      </w:r>
      <w:bookmarkStart w:id="0" w:name="_GoBack"/>
      <w:bookmarkEnd w:id="0"/>
      <w:r w:rsidR="00612CA3" w:rsidRPr="00612CA3">
        <w:rPr>
          <w:b/>
          <w:sz w:val="28"/>
          <w:szCs w:val="28"/>
          <w:u w:val="single"/>
        </w:rPr>
        <w:t xml:space="preserve"> Ministerstva spravodlivosti Slovenskej republiky k výkonu e</w:t>
      </w:r>
      <w:r w:rsidR="00776DA2" w:rsidRPr="00612CA3">
        <w:rPr>
          <w:b/>
          <w:sz w:val="28"/>
          <w:szCs w:val="28"/>
          <w:u w:val="single"/>
        </w:rPr>
        <w:t>xekúci</w:t>
      </w:r>
      <w:r w:rsidR="00612CA3" w:rsidRPr="00612CA3">
        <w:rPr>
          <w:b/>
          <w:sz w:val="28"/>
          <w:szCs w:val="28"/>
          <w:u w:val="single"/>
        </w:rPr>
        <w:t>e</w:t>
      </w:r>
      <w:r w:rsidR="00776DA2" w:rsidRPr="00612CA3">
        <w:rPr>
          <w:b/>
          <w:sz w:val="28"/>
          <w:szCs w:val="28"/>
          <w:u w:val="single"/>
        </w:rPr>
        <w:t xml:space="preserve"> zrážkami zo mzdy a iných príjmov</w:t>
      </w:r>
      <w:r w:rsidR="00612CA3">
        <w:rPr>
          <w:b/>
          <w:sz w:val="28"/>
          <w:szCs w:val="28"/>
          <w:u w:val="single"/>
        </w:rPr>
        <w:t xml:space="preserve"> realizáciou zrážok z príjmov zamestnanca, ktoré mu nenahrádzajú odmenu za prácu</w:t>
      </w:r>
    </w:p>
    <w:p w14:paraId="6492E12C" w14:textId="77777777" w:rsidR="00612CA3" w:rsidRPr="00612CA3" w:rsidRDefault="00612CA3" w:rsidP="00612CA3">
      <w:pPr>
        <w:jc w:val="center"/>
        <w:rPr>
          <w:b/>
          <w:sz w:val="28"/>
          <w:szCs w:val="28"/>
          <w:u w:val="single"/>
        </w:rPr>
      </w:pPr>
    </w:p>
    <w:p w14:paraId="71D548BF" w14:textId="77777777" w:rsidR="002A2586" w:rsidRDefault="002A2586" w:rsidP="00776DA2">
      <w:pPr>
        <w:spacing w:after="120"/>
        <w:jc w:val="both"/>
      </w:pPr>
    </w:p>
    <w:p w14:paraId="1E54B994" w14:textId="77777777" w:rsidR="00DE3C99" w:rsidRDefault="00A11437" w:rsidP="00776DA2">
      <w:pPr>
        <w:spacing w:after="120"/>
        <w:jc w:val="both"/>
      </w:pPr>
      <w:r>
        <w:t>Na základe podnetu z podnikateľského prostredia bolo zistené, že v rámci aplikačnej praxe pri výkone exekúcie zrážkami zo mzdy a iných príjmov v zmysle ustanovení Exekučného poriadku dochádza k rozporuplným výkladom ustanovenia § 89 ods. 1 vo vzťahu k problematike určenia „príjmu, ktorý povinnému nahrádza odmenu za prácu“</w:t>
      </w:r>
      <w:r w:rsidR="00D8311E">
        <w:t>. Niektorí s</w:t>
      </w:r>
      <w:r>
        <w:t>údn</w:t>
      </w:r>
      <w:r w:rsidR="00DE3C99">
        <w:t>i</w:t>
      </w:r>
      <w:r>
        <w:t xml:space="preserve"> exekútori za takýto príjem</w:t>
      </w:r>
      <w:r w:rsidR="00D8311E">
        <w:t xml:space="preserve"> (t. j. príjem, ktorý by mal podliehať exekúcii zrážkami zo mzdy a iných príjmov)</w:t>
      </w:r>
      <w:r>
        <w:t xml:space="preserve"> považujú aj príj</w:t>
      </w:r>
      <w:r w:rsidR="00D8311E">
        <w:t>e</w:t>
      </w:r>
      <w:r>
        <w:t>m zamestnanca, na kto</w:t>
      </w:r>
      <w:r w:rsidR="00D8311E">
        <w:t>rý</w:t>
      </w:r>
      <w:r>
        <w:t xml:space="preserve"> </w:t>
      </w:r>
      <w:r w:rsidR="00D8311E">
        <w:t xml:space="preserve">mu </w:t>
      </w:r>
      <w:r>
        <w:t xml:space="preserve">vzniká právny nárok na základe </w:t>
      </w:r>
      <w:r w:rsidR="00D8311E">
        <w:t xml:space="preserve">Zákonníka práce alebo </w:t>
      </w:r>
      <w:r>
        <w:t>osobitného právneho predpisu, avšak te</w:t>
      </w:r>
      <w:r w:rsidR="00D8311E">
        <w:t>n</w:t>
      </w:r>
      <w:r>
        <w:t>to príj</w:t>
      </w:r>
      <w:r w:rsidR="00D8311E">
        <w:t>e</w:t>
      </w:r>
      <w:r>
        <w:t>m</w:t>
      </w:r>
      <w:r w:rsidR="00D8311E">
        <w:t xml:space="preserve"> svojou povahou nie je možné subsumovať pod pojem </w:t>
      </w:r>
      <w:r>
        <w:t>„mzd</w:t>
      </w:r>
      <w:r w:rsidR="00D8311E">
        <w:t>a</w:t>
      </w:r>
      <w:r>
        <w:t>“, resp. odmen</w:t>
      </w:r>
      <w:r w:rsidR="00D8311E">
        <w:t>a</w:t>
      </w:r>
      <w:r>
        <w:t xml:space="preserve"> za vykonanú prácu</w:t>
      </w:r>
      <w:r w:rsidR="00D8311E">
        <w:t xml:space="preserve">. Ide totiž o príjmy zamestnanca, ktoré mu síce poskytuje </w:t>
      </w:r>
      <w:r>
        <w:t>zamestnávateľ</w:t>
      </w:r>
      <w:r w:rsidR="00D8311E">
        <w:t>, avšak nie ako odmenu za prácu (t. j. nejde o príjem nahrádzajúci odmenu za prácu), ale ide o príjem poskytovaný v súvis</w:t>
      </w:r>
      <w:r>
        <w:t>losti s</w:t>
      </w:r>
      <w:r w:rsidR="00D8311E">
        <w:t>o</w:t>
      </w:r>
      <w:r>
        <w:t xml:space="preserve"> zamestnaním podľa</w:t>
      </w:r>
      <w:r w:rsidR="00D8311E">
        <w:t xml:space="preserve"> Zákonníka práce,</w:t>
      </w:r>
      <w:r>
        <w:t xml:space="preserve"> osobitných predpisov</w:t>
      </w:r>
      <w:r w:rsidR="00D8311E">
        <w:t xml:space="preserve">, kolektívnej zmluvy alebo pracovnej zmluvy, </w:t>
      </w:r>
      <w:r w:rsidR="00DE3C99">
        <w:t>pričom účel tohto príjmu (plnenia)</w:t>
      </w:r>
      <w:r w:rsidR="00D8311E">
        <w:t xml:space="preserve"> je diametrálne odlišný od účelu „náhrady odmeny za prácu“</w:t>
      </w:r>
      <w:r>
        <w:t xml:space="preserve">. </w:t>
      </w:r>
    </w:p>
    <w:p w14:paraId="336035B6" w14:textId="77777777" w:rsidR="00776DA2" w:rsidRPr="00464DDB" w:rsidRDefault="002A2586" w:rsidP="00776DA2">
      <w:pPr>
        <w:spacing w:after="120"/>
        <w:jc w:val="both"/>
        <w:rPr>
          <w:i/>
        </w:rPr>
      </w:pPr>
      <w:r>
        <w:t>P</w:t>
      </w:r>
      <w:r w:rsidR="00776DA2" w:rsidRPr="00464DDB">
        <w:t xml:space="preserve">odľa ustanovenia § 89 ods. 1 </w:t>
      </w:r>
      <w:r w:rsidR="00776DA2" w:rsidRPr="00464DDB">
        <w:rPr>
          <w:i/>
          <w:u w:val="single"/>
        </w:rPr>
        <w:t>ustanovenia o exekúcii zrážkami zo mzdy sa použijú aj na exekúciu zrážkami z</w:t>
      </w:r>
      <w:r w:rsidR="00776DA2" w:rsidRPr="00464DDB">
        <w:rPr>
          <w:i/>
        </w:rPr>
        <w:t xml:space="preserve"> pracovnej odmeny členov družstiev </w:t>
      </w:r>
      <w:r w:rsidR="00776DA2" w:rsidRPr="00464DDB">
        <w:rPr>
          <w:i/>
          <w:u w:val="single"/>
        </w:rPr>
        <w:t xml:space="preserve">a </w:t>
      </w:r>
      <w:r w:rsidR="00776DA2" w:rsidRPr="00464DDB">
        <w:rPr>
          <w:b/>
          <w:i/>
          <w:u w:val="single"/>
        </w:rPr>
        <w:t>z príjmov, ktoré povinnému nahrádzajú odmenu za prácu</w:t>
      </w:r>
      <w:r w:rsidR="00776DA2" w:rsidRPr="00464DDB">
        <w:rPr>
          <w:i/>
        </w:rPr>
        <w:t>, najmä z odmeny vyplývajúcej z dohody o vykonaní práce, z náhrady príjmu pri dočasnej pracovnej neschopnosti zamestnanca, dávok sociálneho poistenia a z dôchodkov starobného dôchodkového sporenia.</w:t>
      </w:r>
    </w:p>
    <w:p w14:paraId="0CF963E2" w14:textId="77777777" w:rsidR="002A2586" w:rsidRDefault="002A2586" w:rsidP="002A2586">
      <w:pPr>
        <w:spacing w:before="120" w:after="120"/>
        <w:jc w:val="both"/>
      </w:pPr>
      <w:r>
        <w:t>V zmysle citovaného</w:t>
      </w:r>
      <w:r w:rsidR="00DE3C99">
        <w:t xml:space="preserve"> zákonného ustanovenia sa </w:t>
      </w:r>
      <w:r>
        <w:t xml:space="preserve">ustanovenia o exekúcii zrážkami zo mzdy aplikujú aj v prípade, ak </w:t>
      </w:r>
      <w:r w:rsidR="00DE3C99">
        <w:t xml:space="preserve">má </w:t>
      </w:r>
      <w:r>
        <w:t xml:space="preserve">povinný </w:t>
      </w:r>
      <w:r w:rsidR="00DE3C99">
        <w:t>n</w:t>
      </w:r>
      <w:r>
        <w:t>árok na pracovnú odmenu člena družstva, ak</w:t>
      </w:r>
      <w:r w:rsidR="00B26C7E">
        <w:t>o</w:t>
      </w:r>
      <w:r>
        <w:t xml:space="preserve"> aj v prípade, ak má povinný iný príjem, ktorý mu </w:t>
      </w:r>
      <w:r>
        <w:rPr>
          <w:u w:val="single"/>
        </w:rPr>
        <w:t>nahrádza odmenu za prácu.</w:t>
      </w:r>
      <w:r>
        <w:t xml:space="preserve"> Ostatné príjmy povinného nemožno postihnúť výkonom exekúcie zrážkami zo mzdy a iných príjmov. </w:t>
      </w:r>
    </w:p>
    <w:p w14:paraId="567983A2" w14:textId="77777777" w:rsidR="002A2586" w:rsidRDefault="00EF090F" w:rsidP="002A2586">
      <w:pPr>
        <w:spacing w:before="120" w:after="120"/>
        <w:jc w:val="both"/>
      </w:pPr>
      <w:r>
        <w:t xml:space="preserve">Na to, aby </w:t>
      </w:r>
      <w:r w:rsidR="002A2586">
        <w:t>príj</w:t>
      </w:r>
      <w:r>
        <w:t>e</w:t>
      </w:r>
      <w:r w:rsidR="002A2586">
        <w:t>m povinného</w:t>
      </w:r>
      <w:r>
        <w:t xml:space="preserve"> p</w:t>
      </w:r>
      <w:r w:rsidR="002A2586">
        <w:t>odlieha</w:t>
      </w:r>
      <w:r>
        <w:t>l</w:t>
      </w:r>
      <w:r w:rsidR="002A2586">
        <w:t xml:space="preserve"> výkonu exekúcie zrážkami zo mzdy a iných príjmov je nutné, aby bol </w:t>
      </w:r>
      <w:r>
        <w:t xml:space="preserve">splnený </w:t>
      </w:r>
      <w:r w:rsidR="002A2586">
        <w:t>základný zákonný predpoklad vzťahujúci sa k povahe tohto príjmu a to, že tento príjem povinného mu nahrádza odmenu za prácu</w:t>
      </w:r>
      <w:r w:rsidR="00D8311E">
        <w:t xml:space="preserve"> (mzdu)</w:t>
      </w:r>
      <w:r w:rsidR="002A2586">
        <w:t>. Exekučný poriadok medzi tieto príjmy zaraďuje najmä odmenu z dohody o vykonaní práce, z náhrady príjmu pri dočasnej pracovnej neschopnosti zamestnanca, dávky sociálneho poistenia a dôchodok starobného dôchodkového sporenia, pričom ide o demonštratívny výpočet príjmov povinného, ktoré mu nahrádzajú odmenu za prácu</w:t>
      </w:r>
      <w:r w:rsidR="00DE3C99">
        <w:t>, t. j. exekúciou zrážkami zo mzdy a iných príjmov možno postihnúť aj iné ako uvedené príjmy zamestnanca, ak je naplnená podmienka účelu týchto príjmov, t. j. nahrádzajú mu odmenu za prácu</w:t>
      </w:r>
      <w:r w:rsidR="002A2586">
        <w:t>.</w:t>
      </w:r>
    </w:p>
    <w:p w14:paraId="0EBBAFFA" w14:textId="77777777" w:rsidR="00DE3C99" w:rsidRDefault="002A2586" w:rsidP="002A2586">
      <w:pPr>
        <w:spacing w:before="120" w:after="120"/>
        <w:jc w:val="both"/>
      </w:pPr>
      <w:r>
        <w:t xml:space="preserve">Pri posúdení skutočnosti, </w:t>
      </w:r>
      <w:r w:rsidR="00EF090F">
        <w:t xml:space="preserve">či </w:t>
      </w:r>
      <w:r>
        <w:t>konkrétny príjem povinného</w:t>
      </w:r>
      <w:r w:rsidR="0046774C">
        <w:t xml:space="preserve"> (neuvedený v demonštratívnom výpočet § 89 ods. 1 Exekučného poriadku)</w:t>
      </w:r>
      <w:r>
        <w:t xml:space="preserve"> je príjmom, ktorý </w:t>
      </w:r>
      <w:r w:rsidR="0046774C">
        <w:t>povinnému</w:t>
      </w:r>
      <w:r>
        <w:t xml:space="preserve"> nahrádza odmenu za prácu je nutné vychádzať </w:t>
      </w:r>
      <w:r w:rsidR="00DE3C99">
        <w:t xml:space="preserve">najmä </w:t>
      </w:r>
      <w:r>
        <w:t xml:space="preserve">z definície </w:t>
      </w:r>
      <w:r w:rsidRPr="00D270A4">
        <w:rPr>
          <w:u w:val="single"/>
        </w:rPr>
        <w:t>mzdy</w:t>
      </w:r>
      <w:r>
        <w:t xml:space="preserve"> v Zákonníku práce, ktor</w:t>
      </w:r>
      <w:r w:rsidR="00D270A4">
        <w:t>á predstavuje „odmenu“ za vykonanú prácu</w:t>
      </w:r>
      <w:r w:rsidR="00D8311E">
        <w:t xml:space="preserve"> a z povahy ostatných plnení poskytovaných zamestnávateľom zamestnancovi v súvislosti so zamestnaním</w:t>
      </w:r>
      <w:r w:rsidR="00DE3C99">
        <w:t>, ako aj zo skutočnosti, či konkrétny príjem podlieha tzv. prednostným zrážkam v zmysle ustanovení osobitných predpisov</w:t>
      </w:r>
      <w:r w:rsidR="00D270A4">
        <w:t xml:space="preserve">. </w:t>
      </w:r>
    </w:p>
    <w:p w14:paraId="515AC04B" w14:textId="77777777" w:rsidR="00D270A4" w:rsidRDefault="00D270A4" w:rsidP="002A2586">
      <w:pPr>
        <w:spacing w:before="120" w:after="120"/>
        <w:jc w:val="both"/>
      </w:pPr>
      <w:r>
        <w:t>Definícia mzdy je obsiahnutá v § 118 ods. 2 Zákonníka práce, ktorý rovnako tak obsahuje aj iné plnenia, ktoré sa za mzdu nepovažujú</w:t>
      </w:r>
      <w:r w:rsidR="00776DA2">
        <w:t xml:space="preserve">, pričom podmienky poskytovania jednotlivých plnení upravujú osobitné ustanovenia Zákonníka práce alebo osobitné predpisy. </w:t>
      </w:r>
    </w:p>
    <w:p w14:paraId="218FD91C" w14:textId="77777777" w:rsidR="002D37B8" w:rsidRDefault="002D37B8" w:rsidP="002D37B8">
      <w:pPr>
        <w:spacing w:before="120" w:after="120"/>
        <w:jc w:val="both"/>
      </w:pPr>
      <w:r>
        <w:lastRenderedPageBreak/>
        <w:t xml:space="preserve">Výkon zrážok  zo mzdy a poradie zrážok upravuje ustanovenie § 131 </w:t>
      </w:r>
      <w:r w:rsidR="0046774C">
        <w:t>Zá</w:t>
      </w:r>
      <w:r>
        <w:t xml:space="preserve">konníka práce, pričom ďalšie zrážky zo mzdy, ktoré presahujú ustanovený zákonný rámec zrážok zo mzdy môže zamestnávateľ vykonať len v prípade, ak mu táto povinnosť vyplýva z písomnej dohody so zamestnancom o zrážkach zo mzdy </w:t>
      </w:r>
      <w:r w:rsidRPr="0046774C">
        <w:rPr>
          <w:u w:val="single"/>
        </w:rPr>
        <w:t>alebo z osobitného právneho predpisu</w:t>
      </w:r>
      <w:r>
        <w:t>.</w:t>
      </w:r>
    </w:p>
    <w:p w14:paraId="2688D52D" w14:textId="6B4F2008" w:rsidR="00776DA2" w:rsidRDefault="00DE3C99" w:rsidP="002A2586">
      <w:pPr>
        <w:spacing w:before="120" w:after="120"/>
        <w:jc w:val="both"/>
      </w:pPr>
      <w:r>
        <w:t xml:space="preserve">Podľa ustanovenia § 132 </w:t>
      </w:r>
      <w:r w:rsidR="002D37B8">
        <w:t>Zákonníka práce</w:t>
      </w:r>
      <w:r>
        <w:t xml:space="preserve"> sa ustanovenia Zákonníka práce</w:t>
      </w:r>
      <w:r w:rsidR="002D37B8">
        <w:t xml:space="preserve"> týkajúce sa splatnosti, výplaty mzdy a zrážok zo mzdy vzťahujú </w:t>
      </w:r>
      <w:r w:rsidR="002D37B8" w:rsidRPr="002D37B8">
        <w:t>rovnako na</w:t>
      </w:r>
      <w:r w:rsidR="00D270A4" w:rsidRPr="002D37B8">
        <w:rPr>
          <w:rFonts w:cs="Segoe UI"/>
        </w:rPr>
        <w:t xml:space="preserve"> všetky zložky príjmu zamestnanca poskytované zamestnávateľom, ak ide o ich splatnosť, výplatu a vykonávanie zrážok.</w:t>
      </w:r>
      <w:r w:rsidR="002D37B8">
        <w:rPr>
          <w:rFonts w:cs="Segoe UI"/>
        </w:rPr>
        <w:t xml:space="preserve"> </w:t>
      </w:r>
      <w:r w:rsidR="0082461D">
        <w:rPr>
          <w:rFonts w:cs="Segoe UI"/>
        </w:rPr>
        <w:t>Uvedené zákonné ustanovenie však nemožno vykladať reštriktívne vo vzťahu k možnosti realizácie zrážok zo mzdy a iných príjmov na účely výkonu exekúcie zrážkami zo mzdy a iných príjmov</w:t>
      </w:r>
      <w:r w:rsidR="00954EF1">
        <w:rPr>
          <w:rFonts w:cs="Segoe UI"/>
        </w:rPr>
        <w:t xml:space="preserve"> tak, že dotknuté ustanovenie Zákonníka práce sa vzťahuje na akýkoľvek príjem zamestnanca, ktorý mu je poskytovaný zamestnávateľom</w:t>
      </w:r>
      <w:r w:rsidR="0082461D">
        <w:rPr>
          <w:rFonts w:cs="Segoe UI"/>
        </w:rPr>
        <w:t xml:space="preserve">, </w:t>
      </w:r>
      <w:r w:rsidR="00954EF1">
        <w:rPr>
          <w:rFonts w:cs="Segoe UI"/>
        </w:rPr>
        <w:t xml:space="preserve">naviac v rozpore s ustanovením § 89 ods. 1 Exekučného poriadku. </w:t>
      </w:r>
      <w:r w:rsidR="00776DA2" w:rsidRPr="002D37B8">
        <w:t>Zákonník práce</w:t>
      </w:r>
      <w:r w:rsidR="002D37B8">
        <w:t xml:space="preserve"> však </w:t>
      </w:r>
      <w:r w:rsidR="00776DA2" w:rsidRPr="002D37B8">
        <w:t xml:space="preserve"> pojem „príjem“ nedefinuje, ale definuje ho napr. zákon č. 595/2003 Z. </w:t>
      </w:r>
      <w:r w:rsidR="00776DA2">
        <w:t>z. o dani z</w:t>
      </w:r>
      <w:r w:rsidR="0046774C">
        <w:t> </w:t>
      </w:r>
      <w:r w:rsidR="00776DA2">
        <w:t>príjmov</w:t>
      </w:r>
      <w:r w:rsidR="0046774C">
        <w:t xml:space="preserve"> v znení neskorších predpisov</w:t>
      </w:r>
      <w:r>
        <w:t>, pričom aplikácia § 132 Zákonníka práce je ovplyvnená aj osobitnými právnymi predpismi upravujúcimi vykonávanie tzv. prednostných zrážok zo mzdy</w:t>
      </w:r>
      <w:r w:rsidR="00776DA2">
        <w:t>. Zákonník práce v zásade za príjem považuje v prvom rade plnenie poskytované zamestnancovi za výkon práce, t. j. mzdu</w:t>
      </w:r>
      <w:r w:rsidR="00B8030D">
        <w:t>, pričom ustanovenie § 132 Zákonníka práce sa v zásade vzťahuje okrem mzdy aj na tie „príjmy“ zamestnanca, ktoré mu poskytuje zamestnávateľ, ak tieto v zmysle osobitných predpisov podliehajú výkonu tzv. prednostných zrážok zo mzdy</w:t>
      </w:r>
      <w:r w:rsidR="00776DA2">
        <w:t>.</w:t>
      </w:r>
      <w:r w:rsidR="00B8030D">
        <w:t xml:space="preserve"> Účelom právnej úpravy obsiahnutej v § 132 Zákonníka práce je totiž zosúladiť vymedzenie vymeriavacieho základu na účely vykonávania odvodov do poistných fondov s vymedzením pojmu „mzda“ na účely vykonávania tzv. prednostných zrážok zo mzdy. </w:t>
      </w:r>
    </w:p>
    <w:p w14:paraId="6A66D631" w14:textId="77777777" w:rsidR="0060482A" w:rsidRDefault="00E71E41" w:rsidP="002A2586">
      <w:pPr>
        <w:spacing w:before="120" w:after="120"/>
        <w:jc w:val="both"/>
      </w:pPr>
      <w:r>
        <w:t xml:space="preserve">Okrem uvedeného </w:t>
      </w:r>
      <w:r w:rsidR="00954EF1">
        <w:t xml:space="preserve">Exekučný poriadok explicitne ustanovuje, že exekúcii zrážkami zo mzdy a iných príjmov podliehajú, okrem výslovne uvedených, aj </w:t>
      </w:r>
      <w:r w:rsidR="00954EF1">
        <w:rPr>
          <w:b/>
          <w:i/>
          <w:u w:val="single"/>
        </w:rPr>
        <w:t xml:space="preserve">príjmy, ktoré povinnému nahrádzajú odmenu za prácu. </w:t>
      </w:r>
      <w:r w:rsidR="00954EF1">
        <w:t xml:space="preserve">Táto zákonná podmienka vyplývajúca z Exekučného poriadku musí byť jednoznačným spôsobom naplnená, aby bolo možné realizovať tento spôsob výkonu exekúcie. Pokiaľ teda ide o príjmy zamestnanca, ktoré sú zamestnancovi poskytované v súvislosti s jeho zamestnaním zamestnávateľom, avšak ide o príjmy, ktoré nenahrádzajú odmenu za prácu, tieto príjmy nemožno postihovať výkonom exekúcie zrážkami zo mzdy a iných príjmov, nakoľko </w:t>
      </w:r>
      <w:r w:rsidR="0060482A">
        <w:t>takýto postup je v rozpore s ustanovením § 89 ods. 1 Exekučného poriadku</w:t>
      </w:r>
      <w:r>
        <w:t>, ak osobitný predpis explicitne neustanovuje inak</w:t>
      </w:r>
      <w:r w:rsidR="0060482A">
        <w:t>.</w:t>
      </w:r>
    </w:p>
    <w:p w14:paraId="06341482" w14:textId="77777777" w:rsidR="00954EF1" w:rsidRPr="00954EF1" w:rsidRDefault="0060482A" w:rsidP="0060482A">
      <w:pPr>
        <w:spacing w:after="120"/>
        <w:jc w:val="both"/>
        <w:rPr>
          <w:i/>
          <w:u w:val="single"/>
        </w:rPr>
      </w:pPr>
      <w:r>
        <w:t>V tejto súvislosti poukazujeme predovšetkým na príjmy zamestnanca, ktoré mu poskytuje zamestnávateľ napr. vo forme finančného príspevku na stravovanie, cestovných náhrad, daňového bonusu alebo rekreačného príspevku a pod. Všetky uvedené plnenia sú síce poskytované zamestnávateľom zamestnancovi v súvislosti s jeho zamestnaním, avšak len v prípade, ak zamestnancovi na takéto plnenie vznikol nárok podľa Zákonníka práce alebo osobitného právneho predpisu</w:t>
      </w:r>
      <w:r w:rsidR="00E71E41">
        <w:t xml:space="preserve">. Tieto plnenia nie sú </w:t>
      </w:r>
      <w:r>
        <w:t>zamestnancovi (povinnému) poskytované ako „náhrada odmeny za prácu“, t. j. náhrada mzdy</w:t>
      </w:r>
      <w:r w:rsidR="00E71E41">
        <w:t xml:space="preserve"> a naviac tieto plnenia a ich výplatu a splatnosť upravujú osobitné právne normy, pričom naviac tieto plnenia nepodliehajú výkonu prednostných zrážok zo mzdy</w:t>
      </w:r>
      <w:r>
        <w:t>. Ide o plnenia, ktoré sú zamestnancovi (povinnému) poskytované zamestnávateľom na diametrálne odlišné účely ako náhrada odmeny za prácu. Práve z uveden</w:t>
      </w:r>
      <w:r w:rsidR="00E71E41">
        <w:t>ých</w:t>
      </w:r>
      <w:r>
        <w:t xml:space="preserve"> dôvod</w:t>
      </w:r>
      <w:r w:rsidR="00E71E41">
        <w:t>ov</w:t>
      </w:r>
      <w:r>
        <w:t xml:space="preserve"> tieto </w:t>
      </w:r>
      <w:r w:rsidR="00E71E41">
        <w:t>„</w:t>
      </w:r>
      <w:r>
        <w:t>príjmy</w:t>
      </w:r>
      <w:r w:rsidR="00E71E41">
        <w:t>“ zamestnanca (povinného)</w:t>
      </w:r>
      <w:r>
        <w:t xml:space="preserve"> nemožno postihnúť výkonom exekúcie zrážkami zo mzdy a iných príjmov.</w:t>
      </w:r>
    </w:p>
    <w:p w14:paraId="170378A0" w14:textId="5A9D2F3B" w:rsidR="00776DA2" w:rsidRPr="0060482A" w:rsidRDefault="00776DA2" w:rsidP="00776DA2">
      <w:pPr>
        <w:spacing w:before="120" w:after="120"/>
        <w:jc w:val="both"/>
        <w:rPr>
          <w:b/>
          <w:u w:val="single"/>
        </w:rPr>
      </w:pPr>
      <w:r w:rsidRPr="0060482A">
        <w:rPr>
          <w:b/>
          <w:u w:val="single"/>
        </w:rPr>
        <w:t xml:space="preserve">Ministerstvo spravodlivosti Slovenskej republiky </w:t>
      </w:r>
      <w:r w:rsidR="00E71E41">
        <w:rPr>
          <w:b/>
          <w:u w:val="single"/>
        </w:rPr>
        <w:t>na základe uvedeného konštatuje</w:t>
      </w:r>
      <w:r w:rsidR="0060482A" w:rsidRPr="0060482A">
        <w:rPr>
          <w:b/>
          <w:u w:val="single"/>
        </w:rPr>
        <w:t>,</w:t>
      </w:r>
      <w:r w:rsidRPr="0060482A">
        <w:rPr>
          <w:b/>
          <w:u w:val="single"/>
        </w:rPr>
        <w:t xml:space="preserve"> že </w:t>
      </w:r>
      <w:r w:rsidR="0060482A" w:rsidRPr="0060482A">
        <w:rPr>
          <w:b/>
          <w:u w:val="single"/>
        </w:rPr>
        <w:t>príjmy zamestnanca poskytované zamestnávateľom</w:t>
      </w:r>
      <w:r w:rsidR="00575406">
        <w:rPr>
          <w:b/>
          <w:u w:val="single"/>
        </w:rPr>
        <w:t xml:space="preserve"> v súvislosti so zamestnaním vo forme finančného príspevku na stravovanie, cestovných náhrad, daňového bonusu a rekreačného príspevku</w:t>
      </w:r>
      <w:r w:rsidR="0060482A" w:rsidRPr="0060482A">
        <w:rPr>
          <w:b/>
          <w:u w:val="single"/>
        </w:rPr>
        <w:t xml:space="preserve"> nemajú p</w:t>
      </w:r>
      <w:r w:rsidR="00575406">
        <w:rPr>
          <w:b/>
          <w:u w:val="single"/>
        </w:rPr>
        <w:t>ovahu „náhrady odmeny za prácu“ a preto</w:t>
      </w:r>
      <w:r w:rsidR="0060482A" w:rsidRPr="0060482A">
        <w:rPr>
          <w:b/>
          <w:u w:val="single"/>
        </w:rPr>
        <w:t xml:space="preserve"> </w:t>
      </w:r>
      <w:r w:rsidRPr="0060482A">
        <w:rPr>
          <w:b/>
          <w:u w:val="single"/>
        </w:rPr>
        <w:t>nie sú postihnuteľné exekúciou zrážkami zo mzdy alebo iných príjmov zamestnanca, keďže nejde o iný príjem definovaný v § 89 ods. 1 Exekučného poriadku</w:t>
      </w:r>
      <w:r w:rsidR="00DE3C99">
        <w:rPr>
          <w:b/>
          <w:u w:val="single"/>
        </w:rPr>
        <w:t>, ktorý by povinnému nahrádzal odm</w:t>
      </w:r>
      <w:r w:rsidRPr="0060482A">
        <w:rPr>
          <w:b/>
          <w:u w:val="single"/>
        </w:rPr>
        <w:t>enu za prácu</w:t>
      </w:r>
      <w:r w:rsidR="00E71E41">
        <w:rPr>
          <w:b/>
          <w:u w:val="single"/>
        </w:rPr>
        <w:t xml:space="preserve"> a osobitný predpis explicitne neupravuje možnosť postihnutia týchto „príjmov“ výkonom rozhodnutia</w:t>
      </w:r>
      <w:r w:rsidRPr="0060482A">
        <w:rPr>
          <w:b/>
          <w:u w:val="single"/>
        </w:rPr>
        <w:t>.</w:t>
      </w:r>
      <w:r w:rsidR="00DE3C99">
        <w:rPr>
          <w:b/>
          <w:u w:val="single"/>
        </w:rPr>
        <w:t xml:space="preserve"> Uvedené nemožno preklenúť ani reštriktívnym </w:t>
      </w:r>
      <w:r w:rsidR="00DE3C99">
        <w:rPr>
          <w:b/>
          <w:u w:val="single"/>
        </w:rPr>
        <w:lastRenderedPageBreak/>
        <w:t>výkladom ustanovenia § 132 Zákonníka práce</w:t>
      </w:r>
      <w:r w:rsidR="001414A9">
        <w:rPr>
          <w:b/>
          <w:u w:val="single"/>
        </w:rPr>
        <w:t>, nakoľko splatnosť a výplatu týchto plnení upravujú osobitné právne normy</w:t>
      </w:r>
      <w:r w:rsidR="00DE3C99">
        <w:rPr>
          <w:b/>
          <w:u w:val="single"/>
        </w:rPr>
        <w:t xml:space="preserve">. Úkony súdneho exekútora v rozpore s uvedeným možno považovať za disciplinárne previnenie, nakoľko takéto úkony sú v rozpore so zákonom. </w:t>
      </w:r>
    </w:p>
    <w:p w14:paraId="7B374AD8" w14:textId="77777777" w:rsidR="0046774C" w:rsidRDefault="0046774C" w:rsidP="00776DA2">
      <w:pPr>
        <w:spacing w:before="120" w:after="120"/>
        <w:jc w:val="both"/>
      </w:pPr>
    </w:p>
    <w:p w14:paraId="133F2D91" w14:textId="77777777" w:rsidR="000029B8" w:rsidRDefault="000029B8"/>
    <w:sectPr w:rsidR="0000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2"/>
    <w:rsid w:val="000029B8"/>
    <w:rsid w:val="001414A9"/>
    <w:rsid w:val="002A2586"/>
    <w:rsid w:val="002D37B8"/>
    <w:rsid w:val="003828B1"/>
    <w:rsid w:val="0046774C"/>
    <w:rsid w:val="00575406"/>
    <w:rsid w:val="0060482A"/>
    <w:rsid w:val="00612CA3"/>
    <w:rsid w:val="00691B4A"/>
    <w:rsid w:val="00776DA2"/>
    <w:rsid w:val="00797241"/>
    <w:rsid w:val="0082461D"/>
    <w:rsid w:val="00954EF1"/>
    <w:rsid w:val="00970991"/>
    <w:rsid w:val="00A11437"/>
    <w:rsid w:val="00B26C7E"/>
    <w:rsid w:val="00B8030D"/>
    <w:rsid w:val="00D270A4"/>
    <w:rsid w:val="00D8311E"/>
    <w:rsid w:val="00DE3C99"/>
    <w:rsid w:val="00E12122"/>
    <w:rsid w:val="00E71E41"/>
    <w:rsid w:val="00EC685F"/>
    <w:rsid w:val="00EF090F"/>
    <w:rsid w:val="00F3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FEDE"/>
  <w15:chartTrackingRefBased/>
  <w15:docId w15:val="{355C4679-F4B3-43D0-A2E5-DC8075B0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6D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76DA2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91B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1B4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1B4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1B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1B4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28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59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84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009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520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635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971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551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571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539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16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600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070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0731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51204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143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35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176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73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84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52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38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303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46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005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605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84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130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00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76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582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HAMBALEKOVA Alena</dc:creator>
  <cp:keywords/>
  <dc:description/>
  <cp:lastModifiedBy>HAMBALEKOVA Alena</cp:lastModifiedBy>
  <cp:revision>5</cp:revision>
  <dcterms:created xsi:type="dcterms:W3CDTF">2023-03-29T08:48:00Z</dcterms:created>
  <dcterms:modified xsi:type="dcterms:W3CDTF">2023-04-17T08:11:00Z</dcterms:modified>
</cp:coreProperties>
</file>