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BA" w:rsidRPr="00BD5FBA" w:rsidRDefault="00BD5FBA" w:rsidP="00BD5FBA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BD5FBA">
        <w:rPr>
          <w:rFonts w:asciiTheme="minorHAnsi" w:hAnsiTheme="minorHAnsi"/>
          <w:b/>
          <w:sz w:val="22"/>
          <w:szCs w:val="22"/>
        </w:rPr>
        <w:t xml:space="preserve">Vyhlásenie zástupkyne SR pre ESĽP k rozsudku </w:t>
      </w:r>
      <w:proofErr w:type="spellStart"/>
      <w:r w:rsidRPr="00BD5FBA">
        <w:rPr>
          <w:rFonts w:asciiTheme="minorHAnsi" w:hAnsiTheme="minorHAnsi"/>
          <w:b/>
          <w:i/>
          <w:sz w:val="22"/>
          <w:szCs w:val="22"/>
        </w:rPr>
        <w:t>Oliari</w:t>
      </w:r>
      <w:proofErr w:type="spellEnd"/>
      <w:r w:rsidRPr="00BD5FBA">
        <w:rPr>
          <w:rFonts w:asciiTheme="minorHAnsi" w:hAnsiTheme="minorHAnsi"/>
          <w:b/>
          <w:i/>
          <w:sz w:val="22"/>
          <w:szCs w:val="22"/>
        </w:rPr>
        <w:t xml:space="preserve"> a ďalší  proti Taliansku</w:t>
      </w:r>
    </w:p>
    <w:p w:rsidR="00BD5FBA" w:rsidRPr="00BD5FBA" w:rsidRDefault="00BD5FBA" w:rsidP="00BD5FBA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BD5FBA">
        <w:rPr>
          <w:rFonts w:asciiTheme="minorHAnsi" w:hAnsiTheme="minorHAnsi"/>
          <w:sz w:val="22"/>
          <w:szCs w:val="22"/>
        </w:rPr>
        <w:t xml:space="preserve">Zástupkyňa SR pred ESĽP v súvislosti s komentárom Zuzany </w:t>
      </w:r>
      <w:proofErr w:type="spellStart"/>
      <w:r w:rsidRPr="00BD5FBA">
        <w:rPr>
          <w:rFonts w:asciiTheme="minorHAnsi" w:hAnsiTheme="minorHAnsi"/>
          <w:sz w:val="22"/>
          <w:szCs w:val="22"/>
        </w:rPr>
        <w:t>Števulovej</w:t>
      </w:r>
      <w:proofErr w:type="spellEnd"/>
      <w:r w:rsidRPr="00BD5FBA">
        <w:rPr>
          <w:rFonts w:asciiTheme="minorHAnsi" w:hAnsiTheme="minorHAnsi"/>
          <w:sz w:val="22"/>
          <w:szCs w:val="22"/>
        </w:rPr>
        <w:t xml:space="preserve"> „Práva LGBTI ľudí nie sú vecou názoru“, v ktorom uvádza, že </w:t>
      </w:r>
      <w:r>
        <w:rPr>
          <w:rFonts w:asciiTheme="minorHAnsi" w:hAnsiTheme="minorHAnsi"/>
          <w:sz w:val="22"/>
          <w:szCs w:val="22"/>
        </w:rPr>
        <w:t>„</w:t>
      </w:r>
      <w:r w:rsidRPr="00BD5FBA">
        <w:rPr>
          <w:rFonts w:asciiTheme="minorHAnsi" w:hAnsiTheme="minorHAnsi"/>
          <w:b/>
          <w:sz w:val="22"/>
          <w:szCs w:val="22"/>
        </w:rPr>
        <w:t>právne uznanie zväzkov párov rovnakého pohlavia je súčasťou povinnosti našej krajiny</w:t>
      </w:r>
      <w:r w:rsidRPr="00BD5FBA">
        <w:rPr>
          <w:rFonts w:asciiTheme="minorHAnsi" w:hAnsiTheme="minorHAnsi"/>
          <w:sz w:val="22"/>
          <w:szCs w:val="22"/>
        </w:rPr>
        <w:t xml:space="preserve"> ochraňovať základné ľudské právo na rešpektovanie rodinného a súkromného života každého občana a občianky tejto krajiny</w:t>
      </w:r>
      <w:r>
        <w:rPr>
          <w:rFonts w:asciiTheme="minorHAnsi" w:hAnsiTheme="minorHAnsi"/>
          <w:sz w:val="22"/>
          <w:szCs w:val="22"/>
        </w:rPr>
        <w:t>“</w:t>
      </w:r>
      <w:r w:rsidRPr="00BD5FBA">
        <w:rPr>
          <w:rFonts w:asciiTheme="minorHAnsi" w:hAnsiTheme="minorHAnsi"/>
          <w:sz w:val="22"/>
          <w:szCs w:val="22"/>
        </w:rPr>
        <w:t>, predkladá nasledovné vyjadrenie.</w:t>
      </w:r>
      <w:r w:rsidRPr="00BD5FBA">
        <w:rPr>
          <w:rFonts w:asciiTheme="minorHAnsi" w:hAnsiTheme="minorHAnsi"/>
          <w:sz w:val="22"/>
          <w:szCs w:val="22"/>
        </w:rPr>
        <w:br/>
        <w:t xml:space="preserve">Pokiaľ Zuzana </w:t>
      </w:r>
      <w:proofErr w:type="spellStart"/>
      <w:r w:rsidRPr="00BD5FBA">
        <w:rPr>
          <w:rFonts w:asciiTheme="minorHAnsi" w:hAnsiTheme="minorHAnsi"/>
          <w:sz w:val="22"/>
          <w:szCs w:val="22"/>
        </w:rPr>
        <w:t>Števulová</w:t>
      </w:r>
      <w:proofErr w:type="spellEnd"/>
      <w:r w:rsidRPr="00BD5FBA">
        <w:rPr>
          <w:rFonts w:asciiTheme="minorHAnsi" w:hAnsiTheme="minorHAnsi"/>
          <w:sz w:val="22"/>
          <w:szCs w:val="22"/>
        </w:rPr>
        <w:t xml:space="preserve"> tvrdí, že uvedené </w:t>
      </w:r>
      <w:r w:rsidRPr="00BD5FBA">
        <w:rPr>
          <w:rFonts w:asciiTheme="minorHAnsi" w:hAnsiTheme="minorHAnsi"/>
          <w:b/>
          <w:sz w:val="22"/>
          <w:szCs w:val="22"/>
        </w:rPr>
        <w:t xml:space="preserve">judikoval už aj ESĽP v rozsudku </w:t>
      </w:r>
      <w:proofErr w:type="spellStart"/>
      <w:r w:rsidRPr="00BD5FBA">
        <w:rPr>
          <w:rFonts w:asciiTheme="minorHAnsi" w:hAnsiTheme="minorHAnsi"/>
          <w:b/>
          <w:i/>
          <w:sz w:val="22"/>
          <w:szCs w:val="22"/>
        </w:rPr>
        <w:t>Oliari</w:t>
      </w:r>
      <w:proofErr w:type="spellEnd"/>
      <w:r w:rsidRPr="00BD5FBA">
        <w:rPr>
          <w:rFonts w:asciiTheme="minorHAnsi" w:hAnsiTheme="minorHAnsi"/>
          <w:b/>
          <w:i/>
          <w:sz w:val="22"/>
          <w:szCs w:val="22"/>
        </w:rPr>
        <w:t xml:space="preserve"> a ostatní proti Taliansku</w:t>
      </w:r>
      <w:r w:rsidRPr="00BD5FBA">
        <w:rPr>
          <w:rFonts w:asciiTheme="minorHAnsi" w:hAnsiTheme="minorHAnsi"/>
          <w:b/>
          <w:sz w:val="22"/>
          <w:szCs w:val="22"/>
        </w:rPr>
        <w:t xml:space="preserve"> </w:t>
      </w:r>
      <w:r w:rsidRPr="00BD5FBA">
        <w:rPr>
          <w:rFonts w:asciiTheme="minorHAnsi" w:hAnsiTheme="minorHAnsi"/>
          <w:sz w:val="22"/>
          <w:szCs w:val="22"/>
        </w:rPr>
        <w:t xml:space="preserve">v r. 2015, </w:t>
      </w:r>
      <w:r w:rsidRPr="00BD5FBA">
        <w:rPr>
          <w:rFonts w:asciiTheme="minorHAnsi" w:hAnsiTheme="minorHAnsi"/>
          <w:b/>
          <w:sz w:val="22"/>
          <w:szCs w:val="22"/>
        </w:rPr>
        <w:t xml:space="preserve">nesprávne interpretuje tento rozsudok, ktorý reagoval na situáciu v Taliansku. Táto nie je analogická ako súčasná situácia na Slovensku. </w:t>
      </w:r>
    </w:p>
    <w:p w:rsidR="00BD5FBA" w:rsidRPr="00BD5FBA" w:rsidRDefault="00BD5FBA" w:rsidP="00BD5FBA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BD5FBA">
        <w:rPr>
          <w:rFonts w:asciiTheme="minorHAnsi" w:hAnsiTheme="minorHAnsi"/>
          <w:sz w:val="22"/>
          <w:szCs w:val="22"/>
        </w:rPr>
        <w:t>ESĽP pri posudzovaní prípadu</w:t>
      </w:r>
      <w:r w:rsidRPr="00BD5FBA">
        <w:rPr>
          <w:rFonts w:asciiTheme="minorHAnsi" w:hAnsiTheme="minorHAnsi"/>
          <w:b/>
          <w:sz w:val="22"/>
          <w:szCs w:val="22"/>
        </w:rPr>
        <w:t xml:space="preserve"> zdôraznil v prvom rade široký priestor na voľnú úvahu štátov pri prijímaní právnych noriem v tejto oblasti a to, že vnútroštátne orgány vedia lepšie posúdiť potreby spoločnosti.</w:t>
      </w:r>
      <w:r w:rsidRPr="00BD5FBA">
        <w:rPr>
          <w:rFonts w:asciiTheme="minorHAnsi" w:hAnsiTheme="minorHAnsi"/>
          <w:sz w:val="22"/>
          <w:szCs w:val="22"/>
        </w:rPr>
        <w:t xml:space="preserve"> Pre ESĽP bol kľúčový pri posudzovaní vnútroštátnej situácie v Taliansku</w:t>
      </w:r>
      <w:r w:rsidRPr="00BD5FBA">
        <w:rPr>
          <w:rFonts w:asciiTheme="minorHAnsi" w:hAnsiTheme="minorHAnsi"/>
          <w:b/>
          <w:sz w:val="22"/>
          <w:szCs w:val="22"/>
        </w:rPr>
        <w:t xml:space="preserve"> záver ústavného súdu, </w:t>
      </w:r>
      <w:r w:rsidRPr="00BD5FBA">
        <w:rPr>
          <w:rFonts w:asciiTheme="minorHAnsi" w:hAnsiTheme="minorHAnsi"/>
          <w:sz w:val="22"/>
          <w:szCs w:val="22"/>
        </w:rPr>
        <w:t>ktorý konštatoval,</w:t>
      </w:r>
      <w:r w:rsidRPr="00BD5FBA">
        <w:rPr>
          <w:rFonts w:asciiTheme="minorHAnsi" w:hAnsiTheme="minorHAnsi"/>
          <w:b/>
          <w:sz w:val="22"/>
          <w:szCs w:val="22"/>
        </w:rPr>
        <w:t xml:space="preserve"> že parlament má upraviť zákonné uznanie práv a povinností prináležiacich párom rovnakého pohlavia</w:t>
      </w:r>
      <w:r w:rsidRPr="00BD5FBA">
        <w:rPr>
          <w:rFonts w:asciiTheme="minorHAnsi" w:hAnsiTheme="minorHAnsi"/>
          <w:sz w:val="22"/>
          <w:szCs w:val="22"/>
        </w:rPr>
        <w:t>.</w:t>
      </w:r>
      <w:r w:rsidRPr="00BD5FBA">
        <w:rPr>
          <w:rFonts w:asciiTheme="minorHAnsi" w:hAnsiTheme="minorHAnsi"/>
          <w:b/>
          <w:sz w:val="22"/>
          <w:szCs w:val="22"/>
        </w:rPr>
        <w:t xml:space="preserve"> Podľa ESĽP podobné náznaky bolo možné pozorovať aj v rozhodnutiach najvyššieho súdu a nižších súdov. Tento trend v súdnej praxi zjavne reflektoval postoj väčšiny talianskej populácie, ktorá podľa prieskumov verejnej mienky podporovala právne uznanie homosexuálnych párov. </w:t>
      </w:r>
      <w:r w:rsidRPr="00BD5FBA">
        <w:rPr>
          <w:rFonts w:asciiTheme="minorHAnsi" w:hAnsiTheme="minorHAnsi"/>
          <w:sz w:val="22"/>
          <w:szCs w:val="22"/>
        </w:rPr>
        <w:t xml:space="preserve">Podľa ESĽP </w:t>
      </w:r>
      <w:r w:rsidRPr="00BD5FBA">
        <w:rPr>
          <w:rFonts w:asciiTheme="minorHAnsi" w:hAnsiTheme="minorHAnsi"/>
          <w:b/>
          <w:sz w:val="22"/>
          <w:szCs w:val="22"/>
        </w:rPr>
        <w:t>taliansky zákonodarca nereagoval na opakované výzvy najvyšších talianskych súdov</w:t>
      </w:r>
      <w:r w:rsidRPr="00BD5FBA">
        <w:rPr>
          <w:rFonts w:asciiTheme="minorHAnsi" w:hAnsiTheme="minorHAnsi"/>
          <w:sz w:val="22"/>
          <w:szCs w:val="22"/>
        </w:rPr>
        <w:t xml:space="preserve"> v tomto ohľade, pričom v rovnakom duchu sa vyjadril aj predseda talianskeho ústavného súdu vo výročnej správe.</w:t>
      </w:r>
    </w:p>
    <w:p w:rsidR="00BD5FBA" w:rsidRPr="00BD5FBA" w:rsidRDefault="00BD5FBA" w:rsidP="00BD5FBA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BD5FBA">
        <w:rPr>
          <w:rFonts w:asciiTheme="minorHAnsi" w:hAnsiTheme="minorHAnsi"/>
          <w:sz w:val="22"/>
          <w:szCs w:val="22"/>
        </w:rPr>
        <w:t xml:space="preserve">Rozsudok ESĽP </w:t>
      </w:r>
      <w:r w:rsidRPr="00BD5FBA">
        <w:rPr>
          <w:rFonts w:asciiTheme="minorHAnsi" w:hAnsiTheme="minorHAnsi"/>
          <w:b/>
          <w:sz w:val="22"/>
          <w:szCs w:val="22"/>
        </w:rPr>
        <w:t>je právne záväzný len pre strany sporu</w:t>
      </w:r>
      <w:r>
        <w:rPr>
          <w:rFonts w:asciiTheme="minorHAnsi" w:hAnsiTheme="minorHAnsi"/>
          <w:sz w:val="22"/>
          <w:szCs w:val="22"/>
        </w:rPr>
        <w:t xml:space="preserve">, </w:t>
      </w:r>
      <w:r w:rsidRPr="00BD5FBA">
        <w:rPr>
          <w:rFonts w:asciiTheme="minorHAnsi" w:hAnsiTheme="minorHAnsi"/>
          <w:sz w:val="22"/>
          <w:szCs w:val="22"/>
        </w:rPr>
        <w:t>ale štáty z neho majú vyvodzovať dôsledky, pretože majú všeobecnú povinnosť rešpektovať a aplikovať Dohovor v súlade s vyvíjajúcou sa judikatúrou ESĽP. Pokiaľ však ide o </w:t>
      </w:r>
      <w:r w:rsidRPr="00BD5FBA">
        <w:rPr>
          <w:rFonts w:asciiTheme="minorHAnsi" w:hAnsiTheme="minorHAnsi"/>
          <w:b/>
          <w:sz w:val="22"/>
          <w:szCs w:val="22"/>
        </w:rPr>
        <w:t>citlivé morálne a etické otázky,</w:t>
      </w:r>
      <w:r w:rsidRPr="00BD5FBA">
        <w:rPr>
          <w:rFonts w:asciiTheme="minorHAnsi" w:hAnsiTheme="minorHAnsi"/>
          <w:sz w:val="22"/>
          <w:szCs w:val="22"/>
        </w:rPr>
        <w:t xml:space="preserve"> akými sú eutanázia, interrupcie či právne uznanie párov rovnakého pohlavia, </w:t>
      </w:r>
      <w:r w:rsidRPr="00BD5FBA">
        <w:rPr>
          <w:rFonts w:asciiTheme="minorHAnsi" w:hAnsiTheme="minorHAnsi"/>
          <w:b/>
          <w:sz w:val="22"/>
          <w:szCs w:val="22"/>
        </w:rPr>
        <w:t>ESĽP stále zdôr</w:t>
      </w:r>
      <w:r>
        <w:rPr>
          <w:rFonts w:asciiTheme="minorHAnsi" w:hAnsiTheme="minorHAnsi"/>
          <w:b/>
          <w:sz w:val="22"/>
          <w:szCs w:val="22"/>
        </w:rPr>
        <w:t>azňuje široký priestor štátov pre</w:t>
      </w:r>
      <w:r w:rsidRPr="00BD5FBA">
        <w:rPr>
          <w:rFonts w:asciiTheme="minorHAnsi" w:hAnsiTheme="minorHAnsi"/>
          <w:b/>
          <w:sz w:val="22"/>
          <w:szCs w:val="22"/>
        </w:rPr>
        <w:t xml:space="preserve"> voľnú úvahu s tým, že vedia lepšie posúdiť situáciu v danej spoločnosti.</w:t>
      </w:r>
      <w:r w:rsidRPr="00BD5FBA">
        <w:rPr>
          <w:rFonts w:asciiTheme="minorHAnsi" w:hAnsiTheme="minorHAnsi"/>
          <w:sz w:val="22"/>
          <w:szCs w:val="22"/>
        </w:rPr>
        <w:t xml:space="preserve"> </w:t>
      </w:r>
      <w:r w:rsidRPr="00BD5FBA">
        <w:rPr>
          <w:rFonts w:asciiTheme="minorHAnsi" w:hAnsiTheme="minorHAnsi"/>
          <w:b/>
          <w:sz w:val="22"/>
          <w:szCs w:val="22"/>
        </w:rPr>
        <w:t xml:space="preserve">Pri vyvodzovaní záverov z rozsudkov ESĽP vyhlásených proti iným štátom je preto potrebné dôsledne zvážiť, či v Slovenskej republike ide skutočne o analogickú situáciu, berúc do úvahy všetky skutkové a právne okolnosti prípadu. Pokiaľ ide o prípad </w:t>
      </w:r>
      <w:proofErr w:type="spellStart"/>
      <w:r w:rsidRPr="00BD5FBA">
        <w:rPr>
          <w:rFonts w:asciiTheme="minorHAnsi" w:hAnsiTheme="minorHAnsi"/>
          <w:b/>
          <w:i/>
          <w:sz w:val="22"/>
          <w:szCs w:val="22"/>
        </w:rPr>
        <w:t>Oliari</w:t>
      </w:r>
      <w:proofErr w:type="spellEnd"/>
      <w:r w:rsidRPr="00BD5FBA">
        <w:rPr>
          <w:rFonts w:asciiTheme="minorHAnsi" w:hAnsiTheme="minorHAnsi"/>
          <w:b/>
          <w:i/>
          <w:sz w:val="22"/>
          <w:szCs w:val="22"/>
        </w:rPr>
        <w:t xml:space="preserve"> a ďalší proti Taliansku</w:t>
      </w:r>
      <w:r w:rsidRPr="00BD5FBA">
        <w:rPr>
          <w:rFonts w:asciiTheme="minorHAnsi" w:hAnsiTheme="minorHAnsi"/>
          <w:b/>
          <w:sz w:val="22"/>
          <w:szCs w:val="22"/>
        </w:rPr>
        <w:t xml:space="preserve"> situácia v Taliansku a na Sloven</w:t>
      </w:r>
      <w:r>
        <w:rPr>
          <w:rFonts w:asciiTheme="minorHAnsi" w:hAnsiTheme="minorHAnsi"/>
          <w:b/>
          <w:sz w:val="22"/>
          <w:szCs w:val="22"/>
        </w:rPr>
        <w:t xml:space="preserve">sku analogická nie je. Slovenský ústavný </w:t>
      </w:r>
      <w:r w:rsidRPr="00BD5FBA">
        <w:rPr>
          <w:rFonts w:asciiTheme="minorHAnsi" w:hAnsiTheme="minorHAnsi"/>
          <w:b/>
          <w:sz w:val="22"/>
          <w:szCs w:val="22"/>
        </w:rPr>
        <w:t>súd nesformuloval slovenskému zákonodarcovi taký pozitívny záväz</w:t>
      </w:r>
      <w:r>
        <w:rPr>
          <w:rFonts w:asciiTheme="minorHAnsi" w:hAnsiTheme="minorHAnsi"/>
          <w:b/>
          <w:sz w:val="22"/>
          <w:szCs w:val="22"/>
        </w:rPr>
        <w:t xml:space="preserve">ok, ako taliansky ústavný súd. </w:t>
      </w:r>
    </w:p>
    <w:p w:rsidR="00BD5FBA" w:rsidRPr="00BD5FBA" w:rsidRDefault="00BD5FBA" w:rsidP="00BD5FBA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BD5FBA">
        <w:rPr>
          <w:rFonts w:asciiTheme="minorHAnsi" w:hAnsiTheme="minorHAnsi"/>
          <w:sz w:val="22"/>
          <w:szCs w:val="22"/>
        </w:rPr>
        <w:t xml:space="preserve">Podrobnejšie informácie o rozsudku </w:t>
      </w:r>
      <w:proofErr w:type="spellStart"/>
      <w:r w:rsidRPr="00BD5FBA">
        <w:rPr>
          <w:rFonts w:asciiTheme="minorHAnsi" w:hAnsiTheme="minorHAnsi"/>
          <w:b/>
          <w:i/>
          <w:sz w:val="22"/>
          <w:szCs w:val="22"/>
        </w:rPr>
        <w:t>Oliari</w:t>
      </w:r>
      <w:proofErr w:type="spellEnd"/>
      <w:r w:rsidRPr="00BD5FBA">
        <w:rPr>
          <w:rFonts w:asciiTheme="minorHAnsi" w:hAnsiTheme="minorHAnsi"/>
          <w:b/>
          <w:i/>
          <w:sz w:val="22"/>
          <w:szCs w:val="22"/>
        </w:rPr>
        <w:t xml:space="preserve"> a ďalší  proti Taliansku</w:t>
      </w:r>
      <w:r w:rsidRPr="00BD5FBA">
        <w:rPr>
          <w:rFonts w:asciiTheme="minorHAnsi" w:hAnsiTheme="minorHAnsi"/>
          <w:b/>
          <w:sz w:val="22"/>
          <w:szCs w:val="22"/>
        </w:rPr>
        <w:t xml:space="preserve"> </w:t>
      </w:r>
      <w:r w:rsidRPr="00BD5FBA">
        <w:rPr>
          <w:rFonts w:asciiTheme="minorHAnsi" w:hAnsiTheme="minorHAnsi"/>
          <w:sz w:val="22"/>
          <w:szCs w:val="22"/>
        </w:rPr>
        <w:t xml:space="preserve">uvádzam nižšie. </w:t>
      </w:r>
    </w:p>
    <w:p w:rsidR="00BD5FBA" w:rsidRPr="00BD5FBA" w:rsidRDefault="00BD5FBA" w:rsidP="00BD5FBA">
      <w:pPr>
        <w:spacing w:after="120"/>
        <w:jc w:val="both"/>
        <w:rPr>
          <w:rFonts w:asciiTheme="minorHAnsi" w:hAnsiTheme="minorHAnsi"/>
          <w:i/>
          <w:iCs/>
          <w:sz w:val="22"/>
          <w:szCs w:val="22"/>
        </w:rPr>
      </w:pPr>
      <w:r w:rsidRPr="00BD5FBA">
        <w:rPr>
          <w:rFonts w:asciiTheme="minorHAnsi" w:hAnsiTheme="minorHAnsi"/>
          <w:sz w:val="22"/>
          <w:szCs w:val="22"/>
        </w:rPr>
        <w:t xml:space="preserve">V prípade </w:t>
      </w:r>
      <w:r w:rsidRPr="00BD5FBA">
        <w:rPr>
          <w:rFonts w:asciiTheme="minorHAnsi" w:hAnsiTheme="minorHAnsi"/>
          <w:b/>
          <w:i/>
          <w:iCs/>
          <w:sz w:val="22"/>
          <w:szCs w:val="22"/>
          <w:lang w:val="it-IT"/>
        </w:rPr>
        <w:t>Oliari a ďalší proti Taliansku</w:t>
      </w:r>
      <w:r w:rsidRPr="00BD5FBA">
        <w:rPr>
          <w:rFonts w:asciiTheme="minorHAnsi" w:hAnsiTheme="minorHAnsi"/>
          <w:i/>
          <w:iCs/>
          <w:sz w:val="22"/>
          <w:szCs w:val="22"/>
          <w:lang w:val="it-IT"/>
        </w:rPr>
        <w:t xml:space="preserve"> </w:t>
      </w:r>
      <w:r w:rsidRPr="00BD5FBA">
        <w:rPr>
          <w:rFonts w:asciiTheme="minorHAnsi" w:hAnsiTheme="minorHAnsi"/>
          <w:iCs/>
          <w:sz w:val="22"/>
          <w:szCs w:val="22"/>
          <w:lang w:val="it-IT"/>
        </w:rPr>
        <w:t>boli</w:t>
      </w:r>
      <w:r w:rsidRPr="00BD5FBA">
        <w:rPr>
          <w:rFonts w:asciiTheme="minorHAnsi" w:hAnsiTheme="minorHAnsi"/>
          <w:kern w:val="24"/>
          <w:sz w:val="22"/>
          <w:szCs w:val="22"/>
        </w:rPr>
        <w:t xml:space="preserve"> s</w:t>
      </w:r>
      <w:r w:rsidRPr="00BD5FBA">
        <w:rPr>
          <w:rFonts w:asciiTheme="minorHAnsi" w:hAnsiTheme="minorHAnsi"/>
          <w:sz w:val="22"/>
          <w:szCs w:val="22"/>
        </w:rPr>
        <w:t>ťažovateľmi pred ESĽP tri homosexuálne páry, ktoré sa sťažovali, že podľa talianskeho práva nemali možnosť uzavrieť manželstvo alebo vstúpiť do iného typu civilného zväzku a že boli diskriminované na základe ich sexuálnej orientácie.</w:t>
      </w:r>
      <w:r w:rsidRPr="00BD5FBA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BD5FBA" w:rsidRPr="00BD5FBA" w:rsidRDefault="00BD5FBA" w:rsidP="00BD5FBA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BD5FBA">
        <w:rPr>
          <w:rFonts w:asciiTheme="minorHAnsi" w:hAnsiTheme="minorHAnsi"/>
          <w:sz w:val="22"/>
          <w:szCs w:val="22"/>
        </w:rPr>
        <w:t>Skutkový stav ​prípadu možno zhrnúť nasledovne.</w:t>
      </w:r>
      <w:r w:rsidRPr="00BD5FBA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BD5FBA">
        <w:rPr>
          <w:rFonts w:asciiTheme="minorHAnsi" w:hAnsiTheme="minorHAnsi"/>
          <w:sz w:val="22"/>
          <w:szCs w:val="22"/>
        </w:rPr>
        <w:t xml:space="preserve">Pán </w:t>
      </w:r>
      <w:proofErr w:type="spellStart"/>
      <w:r w:rsidRPr="00BD5FBA">
        <w:rPr>
          <w:rFonts w:asciiTheme="minorHAnsi" w:hAnsiTheme="minorHAnsi"/>
          <w:sz w:val="22"/>
          <w:szCs w:val="22"/>
        </w:rPr>
        <w:t>Oliari</w:t>
      </w:r>
      <w:proofErr w:type="spellEnd"/>
      <w:r w:rsidRPr="00BD5FBA">
        <w:rPr>
          <w:rFonts w:asciiTheme="minorHAnsi" w:hAnsiTheme="minorHAnsi"/>
          <w:sz w:val="22"/>
          <w:szCs w:val="22"/>
        </w:rPr>
        <w:t xml:space="preserve"> a pán A. v júli 2008 podali na matričnom úrade v </w:t>
      </w:r>
      <w:proofErr w:type="spellStart"/>
      <w:r w:rsidRPr="00BD5FBA">
        <w:rPr>
          <w:rFonts w:asciiTheme="minorHAnsi" w:hAnsiTheme="minorHAnsi"/>
          <w:sz w:val="22"/>
          <w:szCs w:val="22"/>
        </w:rPr>
        <w:t>Trente</w:t>
      </w:r>
      <w:proofErr w:type="spellEnd"/>
      <w:r w:rsidRPr="00BD5FBA">
        <w:rPr>
          <w:rFonts w:asciiTheme="minorHAnsi" w:hAnsiTheme="minorHAnsi"/>
          <w:sz w:val="22"/>
          <w:szCs w:val="22"/>
        </w:rPr>
        <w:t xml:space="preserve"> žiadosť o uzavretie manželstva. Po zamietnutí žiadosti napadli toto rozhodnutie na súde v </w:t>
      </w:r>
      <w:proofErr w:type="spellStart"/>
      <w:r w:rsidRPr="00BD5FBA">
        <w:rPr>
          <w:rFonts w:asciiTheme="minorHAnsi" w:hAnsiTheme="minorHAnsi"/>
          <w:sz w:val="22"/>
          <w:szCs w:val="22"/>
        </w:rPr>
        <w:t>Trente</w:t>
      </w:r>
      <w:proofErr w:type="spellEnd"/>
      <w:r w:rsidRPr="00BD5FBA">
        <w:rPr>
          <w:rFonts w:asciiTheme="minorHAnsi" w:hAnsiTheme="minorHAnsi"/>
          <w:sz w:val="22"/>
          <w:szCs w:val="22"/>
        </w:rPr>
        <w:t xml:space="preserve">, tvrdiac, že talianske právo výslovne nezakazuje manželstvo medzi osobami rovnakého pohlavia a že aj keby takýto zákaz existoval, bol by v rozpore s ústavou. Súd v </w:t>
      </w:r>
      <w:proofErr w:type="spellStart"/>
      <w:r w:rsidRPr="00BD5FBA">
        <w:rPr>
          <w:rFonts w:asciiTheme="minorHAnsi" w:hAnsiTheme="minorHAnsi"/>
          <w:sz w:val="22"/>
          <w:szCs w:val="22"/>
        </w:rPr>
        <w:t>Trente</w:t>
      </w:r>
      <w:proofErr w:type="spellEnd"/>
      <w:r w:rsidRPr="00BD5FBA">
        <w:rPr>
          <w:rFonts w:asciiTheme="minorHAnsi" w:hAnsiTheme="minorHAnsi"/>
          <w:sz w:val="22"/>
          <w:szCs w:val="22"/>
        </w:rPr>
        <w:t xml:space="preserve"> ich žalobu zamietol s tým, že podľa občianskeho zákonníka je podmienkou uzavretia manželstva rozdielne pohlavie manželov. Vzhľadom na skutočnosť, že sťažovatelia v odvolaní namietali nesúlad príslušného zákona s ústavou, odvolací súd sa obrátil na taliansky ústavný súd. </w:t>
      </w:r>
      <w:r w:rsidRPr="00BD5FBA">
        <w:rPr>
          <w:rFonts w:asciiTheme="minorHAnsi" w:hAnsiTheme="minorHAnsi"/>
          <w:b/>
          <w:sz w:val="22"/>
          <w:szCs w:val="22"/>
        </w:rPr>
        <w:t>Ústavný súd</w:t>
      </w:r>
      <w:r w:rsidRPr="00BD5FBA">
        <w:rPr>
          <w:rFonts w:asciiTheme="minorHAnsi" w:hAnsiTheme="minorHAnsi"/>
          <w:sz w:val="22"/>
          <w:szCs w:val="22"/>
        </w:rPr>
        <w:t xml:space="preserve"> v apríli 2010 sťažnosť odmietol. Dospel k záveru, že právo na manželstvo garantované talianskou ústavou sa nevzťahuje na homosexuálne zväzky, ale na manželstvo v jeho tradičnom zmysle. Zároveň </w:t>
      </w:r>
      <w:r w:rsidRPr="00BD5FBA">
        <w:rPr>
          <w:rFonts w:asciiTheme="minorHAnsi" w:hAnsiTheme="minorHAnsi"/>
          <w:b/>
          <w:sz w:val="22"/>
          <w:szCs w:val="22"/>
        </w:rPr>
        <w:t>konštatoval, že parlament má upraviť zákonné uznanie práv a povinností prináležiacich párom rovnakého pohlavia.</w:t>
      </w:r>
      <w:r w:rsidRPr="00BD5FBA">
        <w:rPr>
          <w:rFonts w:asciiTheme="minorHAnsi" w:hAnsiTheme="minorHAnsi"/>
          <w:sz w:val="22"/>
          <w:szCs w:val="22"/>
        </w:rPr>
        <w:t xml:space="preserve"> Na základe rozhodnutia ústavného súdu odvolací súd odvolanie sťažovateľov zamietol. Páni </w:t>
      </w:r>
      <w:proofErr w:type="spellStart"/>
      <w:r w:rsidRPr="00BD5FBA">
        <w:rPr>
          <w:rFonts w:asciiTheme="minorHAnsi" w:hAnsiTheme="minorHAnsi"/>
          <w:sz w:val="22"/>
          <w:szCs w:val="22"/>
        </w:rPr>
        <w:t>Felicetti</w:t>
      </w:r>
      <w:proofErr w:type="spellEnd"/>
      <w:r w:rsidRPr="00BD5FBA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BD5FBA">
        <w:rPr>
          <w:rFonts w:asciiTheme="minorHAnsi" w:hAnsiTheme="minorHAnsi"/>
          <w:sz w:val="22"/>
          <w:szCs w:val="22"/>
        </w:rPr>
        <w:t>Zappa</w:t>
      </w:r>
      <w:proofErr w:type="spellEnd"/>
      <w:r w:rsidRPr="00BD5FBA">
        <w:rPr>
          <w:rFonts w:asciiTheme="minorHAnsi" w:hAnsiTheme="minorHAnsi"/>
          <w:sz w:val="22"/>
          <w:szCs w:val="22"/>
        </w:rPr>
        <w:t xml:space="preserve">, ktorí žili vo vzťahu viac než päť rokov, podali žiadosť o uzavretie manželstva vo februári 2011. Ich žiadosť bola zamietnutá v apríli 2011. Títo sťažovatelia nevyužili žiadne prostriedky nápravy, pretože ich považovali za neúčinné vzhľadom na rozhodnutie ústavného súdu z apríla 2010 v prípade pána </w:t>
      </w:r>
      <w:proofErr w:type="spellStart"/>
      <w:r w:rsidRPr="00BD5FBA">
        <w:rPr>
          <w:rFonts w:asciiTheme="minorHAnsi" w:hAnsiTheme="minorHAnsi"/>
          <w:sz w:val="22"/>
          <w:szCs w:val="22"/>
        </w:rPr>
        <w:t>Oliariho</w:t>
      </w:r>
      <w:proofErr w:type="spellEnd"/>
      <w:r w:rsidRPr="00BD5FBA">
        <w:rPr>
          <w:rFonts w:asciiTheme="minorHAnsi" w:hAnsiTheme="minorHAnsi"/>
          <w:sz w:val="22"/>
          <w:szCs w:val="22"/>
        </w:rPr>
        <w:t xml:space="preserve"> a pána A. Páni </w:t>
      </w:r>
      <w:proofErr w:type="spellStart"/>
      <w:r w:rsidRPr="00BD5FBA">
        <w:rPr>
          <w:rFonts w:asciiTheme="minorHAnsi" w:hAnsiTheme="minorHAnsi"/>
          <w:sz w:val="22"/>
          <w:szCs w:val="22"/>
        </w:rPr>
        <w:t>Cippo</w:t>
      </w:r>
      <w:proofErr w:type="spellEnd"/>
      <w:r w:rsidRPr="00BD5FBA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BD5FBA">
        <w:rPr>
          <w:rFonts w:asciiTheme="minorHAnsi" w:hAnsiTheme="minorHAnsi"/>
          <w:sz w:val="22"/>
          <w:szCs w:val="22"/>
        </w:rPr>
        <w:t>Zaccheo</w:t>
      </w:r>
      <w:proofErr w:type="spellEnd"/>
      <w:r w:rsidRPr="00BD5FBA">
        <w:rPr>
          <w:rFonts w:asciiTheme="minorHAnsi" w:hAnsiTheme="minorHAnsi"/>
          <w:sz w:val="22"/>
          <w:szCs w:val="22"/>
        </w:rPr>
        <w:t xml:space="preserve">, ktorí žili vo vzťahu mnoho rokov, podali žiadosť o uzavretie manželstva v novembri 2009. Zamietnutie žiadosti namietli na súde v </w:t>
      </w:r>
      <w:proofErr w:type="spellStart"/>
      <w:r w:rsidRPr="00BD5FBA">
        <w:rPr>
          <w:rFonts w:asciiTheme="minorHAnsi" w:hAnsiTheme="minorHAnsi"/>
          <w:sz w:val="22"/>
          <w:szCs w:val="22"/>
        </w:rPr>
        <w:t>Miláne</w:t>
      </w:r>
      <w:proofErr w:type="spellEnd"/>
      <w:r w:rsidRPr="00BD5FBA">
        <w:rPr>
          <w:rFonts w:asciiTheme="minorHAnsi" w:hAnsiTheme="minorHAnsi"/>
          <w:sz w:val="22"/>
          <w:szCs w:val="22"/>
        </w:rPr>
        <w:t>, ktorý ich žalobu zamietol v júni 2010. Odvolanie nevyužili, považujúc ho vzhľadom na rozhodnutie ústavného súdu z apríla 2010 za neúčinné.</w:t>
      </w:r>
    </w:p>
    <w:p w:rsidR="00BD5FBA" w:rsidRPr="00BD5FBA" w:rsidRDefault="00BD5FBA" w:rsidP="00BD5FBA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BD5FBA">
        <w:rPr>
          <w:rFonts w:asciiTheme="minorHAnsi" w:hAnsiTheme="minorHAnsi"/>
          <w:sz w:val="22"/>
          <w:szCs w:val="22"/>
        </w:rPr>
        <w:t xml:space="preserve">ESĽP vo svojom rozsudku konštatoval, že talianska právna úprava v posudzovanom čase neposkytovala dostatočnú právnu ochranu dvojiciam rovnakého pohlavia. Uviedol, že medzi sociálnou realitou sťažovateľov, ktorí v Taliansku väčšinou otvorene žijú vo vzťahoch, a ich právnou situáciou je rozdiel, keďže ich vzťahy nie sú žiadnym spôsobom uznané. </w:t>
      </w:r>
      <w:r w:rsidRPr="00BD5FBA">
        <w:rPr>
          <w:rFonts w:asciiTheme="minorHAnsi" w:hAnsiTheme="minorHAnsi"/>
          <w:b/>
          <w:sz w:val="22"/>
          <w:szCs w:val="22"/>
        </w:rPr>
        <w:t xml:space="preserve">Zdôraznil v prvom rade široký priestor na voľnú úvahu štátov pri prijímaní právnych noriem v tejto oblasti a to, že vnútroštátne orgány vedia lepšie posúdiť potreby spoločnosti. </w:t>
      </w:r>
      <w:r w:rsidRPr="00BD5FBA">
        <w:rPr>
          <w:rFonts w:asciiTheme="minorHAnsi" w:hAnsiTheme="minorHAnsi"/>
          <w:sz w:val="22"/>
          <w:szCs w:val="22"/>
        </w:rPr>
        <w:t xml:space="preserve">Pokiaľ ide o predmetný prípad, ESĽP poukázal predovšetkým na situáciu a vývoj v Taliansku, a to najmä na to, že </w:t>
      </w:r>
      <w:r w:rsidRPr="00BD5FBA">
        <w:rPr>
          <w:rFonts w:asciiTheme="minorHAnsi" w:hAnsiTheme="minorHAnsi"/>
          <w:b/>
          <w:sz w:val="22"/>
          <w:szCs w:val="22"/>
        </w:rPr>
        <w:t>taliansky ústavný súd už v roku 2010 podčiarkol úlohu parlamentu legislatívne uznať a upraviť ochranu pre zväzky osôb rovnakého pohlavia. Podobné náznaky možno pozorovať aj v rozhodnutiach najvyššieho súdu a nižších súdov. Tento trend v súdnej praxi zjavne reflektoval postoj väčšiny talianskej populácie, ktorá podľa prieskumov verejnej mienky podporovala právne uznanie homosexuálnych párov</w:t>
      </w:r>
      <w:r w:rsidRPr="00BD5FBA">
        <w:rPr>
          <w:rFonts w:asciiTheme="minorHAnsi" w:hAnsiTheme="minorHAnsi"/>
          <w:sz w:val="22"/>
          <w:szCs w:val="22"/>
        </w:rPr>
        <w:t xml:space="preserve"> (podľa prieskumu uskutočneného v roku 2011 talianskym štatistickým úradom si 61,3 % opýtaných myslelo, že homosexuáli sú diskriminovaní a 74,8 % bolo presvedčených, že homosexualita nepredstavuje hrozbu pre rodinu). ESĽP tiež vyjadril názor, že právne uznanie a ochrana párov rovnakého pohlavia by nepredstavovala pre taliansky štát žiadne osobitné bremeno. V konaní pred ním talianska vláda nepoprela potrebu právnej ochrany pre takéto dvojice a neodvolala sa na žiaden záujem spoločnosti, ktorý by odôvodňoval existujúci právny stav. ESĽP tiež podotkol, že </w:t>
      </w:r>
      <w:r w:rsidRPr="00BD5FBA">
        <w:rPr>
          <w:rFonts w:asciiTheme="minorHAnsi" w:hAnsiTheme="minorHAnsi"/>
          <w:b/>
          <w:sz w:val="22"/>
          <w:szCs w:val="22"/>
        </w:rPr>
        <w:t xml:space="preserve">taliansky zákonodarca nereagoval na opakované výzvy najvyšších talianskych súdov v tomto ohľade, pričom v rovnakom duchu sa vyjadril aj predseda talianskeho ústavného súdu vo výročnej správe. </w:t>
      </w:r>
      <w:r w:rsidRPr="00BD5FBA">
        <w:rPr>
          <w:rFonts w:asciiTheme="minorHAnsi" w:hAnsiTheme="minorHAnsi"/>
          <w:sz w:val="22"/>
          <w:szCs w:val="22"/>
        </w:rPr>
        <w:t xml:space="preserve">S poukazom na to, že neexistoval žiaden spoločenský záujem, ktorý by prevážil nad záujmom sťažovateľov na právnom uznaní ich zväzkov, ESĽP dospel k záveru, že Taliansko nesplnilo svoj pozitívny záväzok zabezpečiť osobitný právny rámec, ktorý by umožňoval uznanie a ochranu zväzkov sťažovateľov. Berúc do úvahy </w:t>
      </w:r>
      <w:r w:rsidRPr="00BD5FBA">
        <w:rPr>
          <w:rFonts w:asciiTheme="minorHAnsi" w:hAnsiTheme="minorHAnsi"/>
          <w:b/>
          <w:sz w:val="22"/>
          <w:szCs w:val="22"/>
        </w:rPr>
        <w:t>meniace sa podmienky v Taliansku</w:t>
      </w:r>
      <w:r w:rsidRPr="00BD5FBA">
        <w:rPr>
          <w:rFonts w:asciiTheme="minorHAnsi" w:hAnsiTheme="minorHAnsi"/>
          <w:sz w:val="22"/>
          <w:szCs w:val="22"/>
        </w:rPr>
        <w:t xml:space="preserve"> a potrebu praktickej a účinnej aplikácie Dohovoru, ESĽP podľa svojho názoru nemohol rozhodnúť inak. Konštatoval preto </w:t>
      </w:r>
      <w:r w:rsidRPr="00BD5FBA">
        <w:rPr>
          <w:rFonts w:asciiTheme="minorHAnsi" w:hAnsiTheme="minorHAnsi"/>
          <w:b/>
          <w:sz w:val="22"/>
          <w:szCs w:val="22"/>
        </w:rPr>
        <w:t>porušenie článku 8 Dohovoru</w:t>
      </w:r>
      <w:r w:rsidRPr="00BD5FBA">
        <w:rPr>
          <w:rFonts w:asciiTheme="minorHAnsi" w:hAnsiTheme="minorHAnsi"/>
          <w:sz w:val="22"/>
          <w:szCs w:val="22"/>
        </w:rPr>
        <w:t xml:space="preserve">. ESĽP ďalej s poukazom na svoj rozsudok v prípade </w:t>
      </w:r>
      <w:proofErr w:type="spellStart"/>
      <w:r w:rsidRPr="00BD5FBA">
        <w:rPr>
          <w:rFonts w:asciiTheme="minorHAnsi" w:hAnsiTheme="minorHAnsi"/>
          <w:i/>
          <w:iCs/>
          <w:sz w:val="22"/>
          <w:szCs w:val="22"/>
        </w:rPr>
        <w:t>Schalk</w:t>
      </w:r>
      <w:proofErr w:type="spellEnd"/>
      <w:r w:rsidRPr="00BD5FBA">
        <w:rPr>
          <w:rFonts w:asciiTheme="minorHAnsi" w:hAnsiTheme="minorHAnsi"/>
          <w:i/>
          <w:iCs/>
          <w:sz w:val="22"/>
          <w:szCs w:val="22"/>
        </w:rPr>
        <w:t xml:space="preserve"> a </w:t>
      </w:r>
      <w:proofErr w:type="spellStart"/>
      <w:r w:rsidRPr="00BD5FBA">
        <w:rPr>
          <w:rFonts w:asciiTheme="minorHAnsi" w:hAnsiTheme="minorHAnsi"/>
          <w:i/>
          <w:iCs/>
          <w:sz w:val="22"/>
          <w:szCs w:val="22"/>
        </w:rPr>
        <w:t>Kopf</w:t>
      </w:r>
      <w:proofErr w:type="spellEnd"/>
      <w:r w:rsidRPr="00BD5FBA">
        <w:rPr>
          <w:rFonts w:asciiTheme="minorHAnsi" w:hAnsiTheme="minorHAnsi"/>
          <w:i/>
          <w:iCs/>
          <w:sz w:val="22"/>
          <w:szCs w:val="22"/>
        </w:rPr>
        <w:t xml:space="preserve"> proti Rakúsku</w:t>
      </w:r>
      <w:r w:rsidRPr="00BD5FBA">
        <w:rPr>
          <w:rFonts w:asciiTheme="minorHAnsi" w:hAnsiTheme="minorHAnsi"/>
          <w:sz w:val="22"/>
          <w:szCs w:val="22"/>
        </w:rPr>
        <w:t xml:space="preserve"> (v ktorom konštatoval, </w:t>
      </w:r>
      <w:r w:rsidRPr="00BD5FBA">
        <w:rPr>
          <w:rFonts w:asciiTheme="minorHAnsi" w:hAnsiTheme="minorHAnsi"/>
          <w:b/>
          <w:sz w:val="22"/>
          <w:szCs w:val="22"/>
        </w:rPr>
        <w:t>že je na štáte, aby sa rozhodol, či poskytne párom rovnakého pohlavia možnosť uzavrieť manželstvo</w:t>
      </w:r>
      <w:r w:rsidRPr="00BD5FBA">
        <w:rPr>
          <w:rFonts w:asciiTheme="minorHAnsi" w:hAnsiTheme="minorHAnsi"/>
          <w:sz w:val="22"/>
          <w:szCs w:val="22"/>
        </w:rPr>
        <w:t xml:space="preserve">) </w:t>
      </w:r>
      <w:r w:rsidRPr="00BD5FBA">
        <w:rPr>
          <w:rFonts w:asciiTheme="minorHAnsi" w:hAnsiTheme="minorHAnsi"/>
          <w:b/>
          <w:sz w:val="22"/>
          <w:szCs w:val="22"/>
        </w:rPr>
        <w:t>zamietol ako zjavne nepodložené námietky týkajúce sa údajného porušenia práva uzavrieť manželstvo (článok 12 Dohovoru), a to samostatne aj v spojení so zákazom diskriminácie (článok 14 Dohovoru).</w:t>
      </w:r>
      <w:r w:rsidRPr="00BD5FBA">
        <w:rPr>
          <w:rFonts w:asciiTheme="minorHAnsi" w:hAnsiTheme="minorHAnsi"/>
          <w:sz w:val="22"/>
          <w:szCs w:val="22"/>
        </w:rPr>
        <w:t xml:space="preserve"> Pokiaľ ide o otázku spravodlivého zadosťučinenia, ESĽP priznal každému zo sťažovateľov 5 000 eur ako náhradu nemajetkovej ujmy. Ako náhradu nákladov a výdavkov priznal dvom zo sťažovateľov spoločne 4 000 eur a štyrom zo sťažovateľov spoločne 10 000 eur.</w:t>
      </w:r>
    </w:p>
    <w:p w:rsidR="00F951A1" w:rsidRPr="00BD5FBA" w:rsidRDefault="00F951A1" w:rsidP="00F951A1">
      <w:pPr>
        <w:tabs>
          <w:tab w:val="left" w:pos="1664"/>
          <w:tab w:val="left" w:pos="2469"/>
        </w:tabs>
        <w:jc w:val="both"/>
        <w:rPr>
          <w:rFonts w:asciiTheme="minorHAnsi" w:hAnsiTheme="minorHAnsi"/>
          <w:sz w:val="22"/>
          <w:szCs w:val="22"/>
        </w:rPr>
      </w:pPr>
    </w:p>
    <w:sectPr w:rsidR="00F951A1" w:rsidRPr="00BD5FBA" w:rsidSect="00FF44AE">
      <w:headerReference w:type="default" r:id="rId8"/>
      <w:footerReference w:type="default" r:id="rId9"/>
      <w:pgSz w:w="11906" w:h="16838"/>
      <w:pgMar w:top="971" w:right="1418" w:bottom="1702" w:left="1418" w:header="70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762" w:rsidRDefault="00586762" w:rsidP="00F951A1">
      <w:r>
        <w:separator/>
      </w:r>
    </w:p>
  </w:endnote>
  <w:endnote w:type="continuationSeparator" w:id="0">
    <w:p w:rsidR="00586762" w:rsidRDefault="00586762" w:rsidP="00F9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retaSansStd-Reg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retaSansStd-B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46" w:rsidRPr="003C6443" w:rsidRDefault="00065B46" w:rsidP="00065B46">
    <w:pPr>
      <w:autoSpaceDE w:val="0"/>
      <w:autoSpaceDN w:val="0"/>
      <w:adjustRightInd w:val="0"/>
      <w:spacing w:line="276" w:lineRule="auto"/>
      <w:jc w:val="right"/>
      <w:rPr>
        <w:rFonts w:asciiTheme="minorHAnsi" w:hAnsiTheme="minorHAnsi" w:cs="GretaSansStd-Bld"/>
        <w:sz w:val="16"/>
        <w:szCs w:val="16"/>
      </w:rPr>
    </w:pPr>
    <w:r w:rsidRPr="003C6443">
      <w:rPr>
        <w:rFonts w:asciiTheme="minorHAnsi" w:hAnsiTheme="minorHAnsi" w:cs="GretaSansStd-Bld"/>
        <w:sz w:val="16"/>
        <w:szCs w:val="16"/>
      </w:rPr>
      <w:t xml:space="preserve">Ministerstvo spravodlivosti SR </w:t>
    </w:r>
    <w:r w:rsidRPr="003C6443">
      <w:rPr>
        <w:rFonts w:asciiTheme="minorHAnsi" w:hAnsiTheme="minorHAnsi" w:cs="GretaSansStd-Reg"/>
        <w:sz w:val="16"/>
        <w:szCs w:val="16"/>
      </w:rPr>
      <w:t xml:space="preserve">| </w:t>
    </w:r>
    <w:r w:rsidRPr="003C6443">
      <w:rPr>
        <w:rFonts w:asciiTheme="minorHAnsi" w:hAnsiTheme="minorHAnsi" w:cs="GretaSansStd-Bld"/>
        <w:sz w:val="16"/>
        <w:szCs w:val="16"/>
      </w:rPr>
      <w:t xml:space="preserve">Župné nám. 13 </w:t>
    </w:r>
    <w:r w:rsidRPr="003C6443">
      <w:rPr>
        <w:rFonts w:asciiTheme="minorHAnsi" w:hAnsiTheme="minorHAnsi" w:cs="GretaSansStd-Reg"/>
        <w:sz w:val="16"/>
        <w:szCs w:val="16"/>
      </w:rPr>
      <w:t xml:space="preserve">| </w:t>
    </w:r>
    <w:r w:rsidRPr="003C6443">
      <w:rPr>
        <w:rFonts w:asciiTheme="minorHAnsi" w:hAnsiTheme="minorHAnsi" w:cs="GretaSansStd-Bld"/>
        <w:sz w:val="16"/>
        <w:szCs w:val="16"/>
      </w:rPr>
      <w:t xml:space="preserve">813 11 </w:t>
    </w:r>
    <w:r w:rsidRPr="003C6443">
      <w:rPr>
        <w:rFonts w:asciiTheme="minorHAnsi" w:hAnsiTheme="minorHAnsi" w:cs="GretaSansStd-Reg"/>
        <w:sz w:val="16"/>
        <w:szCs w:val="16"/>
      </w:rPr>
      <w:t>|</w:t>
    </w:r>
    <w:r w:rsidR="008E7CE5" w:rsidRPr="003C6443">
      <w:rPr>
        <w:rFonts w:asciiTheme="minorHAnsi" w:hAnsiTheme="minorHAnsi" w:cs="GretaSansStd-Reg"/>
        <w:sz w:val="16"/>
        <w:szCs w:val="16"/>
      </w:rPr>
      <w:t xml:space="preserve"> Bratislava | </w:t>
    </w:r>
    <w:r w:rsidRPr="003C6443">
      <w:rPr>
        <w:rFonts w:asciiTheme="minorHAnsi" w:hAnsiTheme="minorHAnsi" w:cs="GretaSansStd-Bld"/>
        <w:sz w:val="16"/>
        <w:szCs w:val="16"/>
      </w:rPr>
      <w:t>Slovenská republika</w:t>
    </w:r>
  </w:p>
  <w:p w:rsidR="00D06F72" w:rsidRPr="003C6443" w:rsidRDefault="00065B46" w:rsidP="00065B46">
    <w:pPr>
      <w:pStyle w:val="Pta"/>
      <w:spacing w:line="276" w:lineRule="auto"/>
      <w:jc w:val="right"/>
      <w:rPr>
        <w:rFonts w:asciiTheme="minorHAnsi" w:hAnsiTheme="minorHAnsi"/>
        <w:sz w:val="16"/>
        <w:szCs w:val="16"/>
      </w:rPr>
    </w:pPr>
    <w:r w:rsidRPr="003C6443">
      <w:rPr>
        <w:rFonts w:asciiTheme="minorHAnsi" w:hAnsiTheme="minorHAnsi" w:cs="GretaSansStd-Reg"/>
        <w:sz w:val="16"/>
        <w:szCs w:val="16"/>
      </w:rPr>
      <w:t xml:space="preserve">tel.: </w:t>
    </w:r>
    <w:sdt>
      <w:sdtPr>
        <w:rPr>
          <w:rStyle w:val="tl1"/>
          <w:rFonts w:asciiTheme="minorHAnsi" w:hAnsiTheme="minorHAnsi"/>
          <w:sz w:val="16"/>
          <w:szCs w:val="16"/>
        </w:rPr>
        <w:id w:val="31087539"/>
        <w:text w:multiLine="1"/>
      </w:sdtPr>
      <w:sdtEndPr>
        <w:rPr>
          <w:rStyle w:val="Predvolenpsmoodseku"/>
          <w:rFonts w:cs="Arial"/>
        </w:rPr>
      </w:sdtEndPr>
      <w:sdtContent>
        <w:r w:rsidR="00072839">
          <w:rPr>
            <w:rStyle w:val="tl1"/>
            <w:rFonts w:asciiTheme="minorHAnsi" w:hAnsiTheme="minorHAnsi"/>
            <w:sz w:val="16"/>
            <w:szCs w:val="16"/>
          </w:rPr>
          <w:t>02/888 91 561</w:t>
        </w:r>
      </w:sdtContent>
    </w:sdt>
    <w:r w:rsidR="00811582" w:rsidRPr="003C6443">
      <w:rPr>
        <w:rFonts w:asciiTheme="minorHAnsi" w:hAnsiTheme="minorHAnsi" w:cs="GretaSansStd-Reg"/>
        <w:sz w:val="16"/>
        <w:szCs w:val="16"/>
      </w:rPr>
      <w:t xml:space="preserve"> </w:t>
    </w:r>
    <w:r w:rsidRPr="003C6443">
      <w:rPr>
        <w:rFonts w:asciiTheme="minorHAnsi" w:hAnsiTheme="minorHAnsi" w:cs="GretaSansStd-Reg"/>
        <w:sz w:val="16"/>
        <w:szCs w:val="16"/>
      </w:rPr>
      <w:t xml:space="preserve">| e-mail: </w:t>
    </w:r>
    <w:sdt>
      <w:sdtPr>
        <w:rPr>
          <w:rFonts w:asciiTheme="minorHAnsi" w:hAnsiTheme="minorHAnsi"/>
          <w:sz w:val="16"/>
          <w:szCs w:val="16"/>
        </w:rPr>
        <w:id w:val="307284034"/>
        <w:text w:multiLine="1"/>
      </w:sdtPr>
      <w:sdtEndPr/>
      <w:sdtContent>
        <w:proofErr w:type="spellStart"/>
        <w:r w:rsidR="00072839">
          <w:rPr>
            <w:rFonts w:asciiTheme="minorHAnsi" w:hAnsiTheme="minorHAnsi"/>
            <w:sz w:val="16"/>
            <w:szCs w:val="16"/>
          </w:rPr>
          <w:t>miroslava.balintova@justice.sk</w:t>
        </w:r>
        <w:proofErr w:type="spellEnd"/>
      </w:sdtContent>
    </w:sdt>
    <w:r w:rsidR="00811582" w:rsidRPr="003C6443">
      <w:rPr>
        <w:rFonts w:asciiTheme="minorHAnsi" w:hAnsiTheme="minorHAnsi" w:cs="GretaSansStd-Reg"/>
        <w:sz w:val="16"/>
        <w:szCs w:val="16"/>
      </w:rPr>
      <w:t xml:space="preserve"> </w:t>
    </w:r>
    <w:r w:rsidRPr="003C6443">
      <w:rPr>
        <w:rFonts w:asciiTheme="minorHAnsi" w:hAnsiTheme="minorHAnsi" w:cs="GretaSansStd-Reg"/>
        <w:sz w:val="16"/>
        <w:szCs w:val="16"/>
      </w:rPr>
      <w:t xml:space="preserve">| </w:t>
    </w:r>
    <w:proofErr w:type="spellStart"/>
    <w:r w:rsidRPr="003C6443">
      <w:rPr>
        <w:rFonts w:asciiTheme="minorHAnsi" w:hAnsiTheme="minorHAnsi" w:cs="GretaSansStd-Reg"/>
        <w:sz w:val="16"/>
        <w:szCs w:val="16"/>
      </w:rPr>
      <w:t>www.justice.gov.sk</w:t>
    </w:r>
    <w:proofErr w:type="spellEnd"/>
  </w:p>
  <w:p w:rsidR="00065B46" w:rsidRPr="00065B46" w:rsidRDefault="00065B46" w:rsidP="00065B46">
    <w:pPr>
      <w:pStyle w:val="Pta"/>
      <w:spacing w:line="276" w:lineRule="auto"/>
      <w:jc w:val="right"/>
      <w:rPr>
        <w:rFonts w:asciiTheme="minorHAnsi" w:hAnsiTheme="minorHAnsi"/>
        <w:sz w:val="16"/>
        <w:szCs w:val="12"/>
      </w:rPr>
    </w:pPr>
  </w:p>
  <w:p w:rsidR="00065B46" w:rsidRPr="00065B46" w:rsidRDefault="00065B46" w:rsidP="00065B46">
    <w:pPr>
      <w:pStyle w:val="Pta"/>
      <w:spacing w:line="276" w:lineRule="auto"/>
      <w:jc w:val="right"/>
      <w:rPr>
        <w:rFonts w:asciiTheme="minorHAnsi" w:hAnsiTheme="minorHAnsi"/>
        <w:sz w:val="16"/>
        <w:szCs w:val="12"/>
      </w:rPr>
    </w:pPr>
  </w:p>
  <w:p w:rsidR="00065B46" w:rsidRPr="00065B46" w:rsidRDefault="00065B46" w:rsidP="00065B46">
    <w:pPr>
      <w:pStyle w:val="Pta"/>
      <w:spacing w:line="276" w:lineRule="auto"/>
      <w:jc w:val="right"/>
      <w:rPr>
        <w:rFonts w:asciiTheme="minorHAnsi" w:hAnsiTheme="minorHAnsi"/>
        <w:sz w:val="16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762" w:rsidRDefault="00586762" w:rsidP="00F951A1">
      <w:r>
        <w:separator/>
      </w:r>
    </w:p>
  </w:footnote>
  <w:footnote w:type="continuationSeparator" w:id="0">
    <w:p w:rsidR="00586762" w:rsidRDefault="00586762" w:rsidP="00F95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E6" w:rsidRDefault="007C4CE6" w:rsidP="007C4CE6">
    <w:pPr>
      <w:pStyle w:val="Hlavika"/>
      <w:jc w:val="right"/>
    </w:pPr>
    <w:r w:rsidRPr="009722CA">
      <w:rPr>
        <w:rFonts w:ascii="GretaSansStd-Reg" w:hAnsi="GretaSansStd-Reg" w:cs="GretaSansStd-Reg"/>
        <w:b/>
        <w:color w:val="0055A2"/>
        <w:szCs w:val="20"/>
      </w:rPr>
      <w:t>TLAČOVÁ SPRÁVA</w:t>
    </w:r>
    <w:r>
      <w:tab/>
    </w:r>
    <w:r>
      <w:tab/>
    </w:r>
    <w:r>
      <w:rPr>
        <w:noProof/>
      </w:rPr>
      <w:drawing>
        <wp:inline distT="0" distB="0" distL="0" distR="0" wp14:anchorId="47EC5249" wp14:editId="501D9748">
          <wp:extent cx="1612642" cy="40957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 – no borde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761" cy="40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51A1" w:rsidRDefault="00F951A1" w:rsidP="007C4CE6">
    <w:pPr>
      <w:pStyle w:val="Hlavika"/>
      <w:rPr>
        <w:rFonts w:asciiTheme="minorHAnsi" w:hAnsiTheme="minorHAnsi" w:cs="Arial"/>
        <w:b/>
        <w:sz w:val="26"/>
        <w:szCs w:val="26"/>
      </w:rPr>
    </w:pPr>
  </w:p>
  <w:p w:rsidR="007C4CE6" w:rsidRPr="007C4CE6" w:rsidRDefault="007C4CE6" w:rsidP="007C4CE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6D12"/>
    <w:multiLevelType w:val="hybridMultilevel"/>
    <w:tmpl w:val="2F96ED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C511A"/>
    <w:multiLevelType w:val="hybridMultilevel"/>
    <w:tmpl w:val="C504D9D2"/>
    <w:lvl w:ilvl="0" w:tplc="03AADCF6">
      <w:start w:val="1"/>
      <w:numFmt w:val="decimal"/>
      <w:lvlText w:val="%1."/>
      <w:lvlJc w:val="left"/>
      <w:pPr>
        <w:tabs>
          <w:tab w:val="num" w:pos="357"/>
        </w:tabs>
        <w:ind w:left="153" w:firstLine="204"/>
      </w:pPr>
      <w:rPr>
        <w:rFonts w:hint="default"/>
        <w:b w:val="0"/>
        <w:i w:val="0"/>
      </w:rPr>
    </w:lvl>
    <w:lvl w:ilvl="1" w:tplc="9506A27C">
      <w:start w:val="1"/>
      <w:numFmt w:val="decimal"/>
      <w:lvlText w:val="%2."/>
      <w:lvlJc w:val="left"/>
      <w:pPr>
        <w:tabs>
          <w:tab w:val="num" w:pos="340"/>
        </w:tabs>
        <w:ind w:left="153" w:firstLine="187"/>
      </w:pPr>
      <w:rPr>
        <w:rFonts w:hint="default"/>
        <w:b w:val="0"/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43"/>
    <w:rsid w:val="0003135A"/>
    <w:rsid w:val="00040177"/>
    <w:rsid w:val="00055645"/>
    <w:rsid w:val="00065B46"/>
    <w:rsid w:val="00072839"/>
    <w:rsid w:val="000A1168"/>
    <w:rsid w:val="000B4D0D"/>
    <w:rsid w:val="001054A1"/>
    <w:rsid w:val="00150D38"/>
    <w:rsid w:val="001714DE"/>
    <w:rsid w:val="001C6A56"/>
    <w:rsid w:val="001E5709"/>
    <w:rsid w:val="001E6C7D"/>
    <w:rsid w:val="001E7FAD"/>
    <w:rsid w:val="0022505A"/>
    <w:rsid w:val="00240665"/>
    <w:rsid w:val="002611CB"/>
    <w:rsid w:val="002D015A"/>
    <w:rsid w:val="00302D42"/>
    <w:rsid w:val="0033627D"/>
    <w:rsid w:val="0035742C"/>
    <w:rsid w:val="00360653"/>
    <w:rsid w:val="003B0542"/>
    <w:rsid w:val="003C2BBB"/>
    <w:rsid w:val="003C6443"/>
    <w:rsid w:val="003D0BD8"/>
    <w:rsid w:val="003D5A2C"/>
    <w:rsid w:val="003E059D"/>
    <w:rsid w:val="00424414"/>
    <w:rsid w:val="004354F6"/>
    <w:rsid w:val="00447009"/>
    <w:rsid w:val="00461BAA"/>
    <w:rsid w:val="00473C27"/>
    <w:rsid w:val="0048474E"/>
    <w:rsid w:val="00535CDE"/>
    <w:rsid w:val="00586762"/>
    <w:rsid w:val="005C12BB"/>
    <w:rsid w:val="005E69F4"/>
    <w:rsid w:val="005E6AF0"/>
    <w:rsid w:val="00616FE9"/>
    <w:rsid w:val="0062094D"/>
    <w:rsid w:val="006428C3"/>
    <w:rsid w:val="00673A45"/>
    <w:rsid w:val="00680D41"/>
    <w:rsid w:val="00694440"/>
    <w:rsid w:val="006D2B57"/>
    <w:rsid w:val="006D5FA1"/>
    <w:rsid w:val="007271BC"/>
    <w:rsid w:val="00774758"/>
    <w:rsid w:val="00782038"/>
    <w:rsid w:val="00786213"/>
    <w:rsid w:val="007B140B"/>
    <w:rsid w:val="007C4CE6"/>
    <w:rsid w:val="00810010"/>
    <w:rsid w:val="00811582"/>
    <w:rsid w:val="0082444B"/>
    <w:rsid w:val="0086196E"/>
    <w:rsid w:val="00893583"/>
    <w:rsid w:val="008A60AC"/>
    <w:rsid w:val="008C6044"/>
    <w:rsid w:val="008C6498"/>
    <w:rsid w:val="008D1FCB"/>
    <w:rsid w:val="008D3E09"/>
    <w:rsid w:val="008E7CE5"/>
    <w:rsid w:val="008F0BB7"/>
    <w:rsid w:val="0096149C"/>
    <w:rsid w:val="00981E95"/>
    <w:rsid w:val="00995B80"/>
    <w:rsid w:val="009A0325"/>
    <w:rsid w:val="00A10EF0"/>
    <w:rsid w:val="00A438EA"/>
    <w:rsid w:val="00A700A9"/>
    <w:rsid w:val="00A81B6F"/>
    <w:rsid w:val="00AE4E54"/>
    <w:rsid w:val="00AF6BDA"/>
    <w:rsid w:val="00B36CE2"/>
    <w:rsid w:val="00B70AEE"/>
    <w:rsid w:val="00B96D87"/>
    <w:rsid w:val="00BD5FBA"/>
    <w:rsid w:val="00C17FC8"/>
    <w:rsid w:val="00C2260C"/>
    <w:rsid w:val="00C305BF"/>
    <w:rsid w:val="00C458FF"/>
    <w:rsid w:val="00C9596E"/>
    <w:rsid w:val="00CB3735"/>
    <w:rsid w:val="00CB6692"/>
    <w:rsid w:val="00CD2872"/>
    <w:rsid w:val="00D10449"/>
    <w:rsid w:val="00D322B7"/>
    <w:rsid w:val="00D878A1"/>
    <w:rsid w:val="00DA6ABC"/>
    <w:rsid w:val="00E060D9"/>
    <w:rsid w:val="00E33519"/>
    <w:rsid w:val="00E775BC"/>
    <w:rsid w:val="00E8438C"/>
    <w:rsid w:val="00EB3D63"/>
    <w:rsid w:val="00F34EA7"/>
    <w:rsid w:val="00F62D94"/>
    <w:rsid w:val="00F951A1"/>
    <w:rsid w:val="00FC3F98"/>
    <w:rsid w:val="00FF44AE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F951A1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F951A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95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951A1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E3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E4E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4E54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2D015A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5C12BB"/>
    <w:rPr>
      <w:color w:val="808080"/>
    </w:rPr>
  </w:style>
  <w:style w:type="character" w:customStyle="1" w:styleId="tl1">
    <w:name w:val="Štýl1"/>
    <w:basedOn w:val="Predvolenpsmoodseku"/>
    <w:uiPriority w:val="1"/>
    <w:rsid w:val="005C12BB"/>
    <w:rPr>
      <w:rFonts w:ascii="Georgia" w:hAnsi="Georgia"/>
      <w:sz w:val="18"/>
    </w:rPr>
  </w:style>
  <w:style w:type="paragraph" w:customStyle="1" w:styleId="JuPara">
    <w:name w:val="Ju_Para"/>
    <w:aliases w:val="Left,First line:  0 cm"/>
    <w:basedOn w:val="Normlny"/>
    <w:link w:val="JuParaCar"/>
    <w:rsid w:val="003C6443"/>
    <w:pPr>
      <w:ind w:firstLine="284"/>
      <w:jc w:val="both"/>
    </w:pPr>
    <w:rPr>
      <w:szCs w:val="20"/>
      <w:lang w:val="en-GB" w:eastAsia="fr-FR"/>
    </w:rPr>
  </w:style>
  <w:style w:type="character" w:customStyle="1" w:styleId="JuParaCar">
    <w:name w:val="Ju_Para Car"/>
    <w:basedOn w:val="Predvolenpsmoodseku"/>
    <w:link w:val="JuPara"/>
    <w:rsid w:val="003C6443"/>
    <w:rPr>
      <w:rFonts w:ascii="Times New Roman" w:eastAsia="Times New Roman" w:hAnsi="Times New Roman" w:cs="Times New Roman"/>
      <w:sz w:val="24"/>
      <w:szCs w:val="20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F951A1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F951A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95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951A1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E3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E4E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4E54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2D015A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5C12BB"/>
    <w:rPr>
      <w:color w:val="808080"/>
    </w:rPr>
  </w:style>
  <w:style w:type="character" w:customStyle="1" w:styleId="tl1">
    <w:name w:val="Štýl1"/>
    <w:basedOn w:val="Predvolenpsmoodseku"/>
    <w:uiPriority w:val="1"/>
    <w:rsid w:val="005C12BB"/>
    <w:rPr>
      <w:rFonts w:ascii="Georgia" w:hAnsi="Georgia"/>
      <w:sz w:val="18"/>
    </w:rPr>
  </w:style>
  <w:style w:type="paragraph" w:customStyle="1" w:styleId="JuPara">
    <w:name w:val="Ju_Para"/>
    <w:aliases w:val="Left,First line:  0 cm"/>
    <w:basedOn w:val="Normlny"/>
    <w:link w:val="JuParaCar"/>
    <w:rsid w:val="003C6443"/>
    <w:pPr>
      <w:ind w:firstLine="284"/>
      <w:jc w:val="both"/>
    </w:pPr>
    <w:rPr>
      <w:szCs w:val="20"/>
      <w:lang w:val="en-GB" w:eastAsia="fr-FR"/>
    </w:rPr>
  </w:style>
  <w:style w:type="character" w:customStyle="1" w:styleId="JuParaCar">
    <w:name w:val="Ju_Para Car"/>
    <w:basedOn w:val="Predvolenpsmoodseku"/>
    <w:link w:val="JuPara"/>
    <w:rsid w:val="003C6443"/>
    <w:rPr>
      <w:rFonts w:ascii="Times New Roman" w:eastAsia="Times New Roman" w:hAnsi="Times New Roman" w:cs="Times New Roman"/>
      <w:sz w:val="24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SL~1.BAL\AppData\Local\Temp\7zO9082.tmp\sablona_TS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2687A7543A9642AA8A5AC69DB74E75" ma:contentTypeVersion="1" ma:contentTypeDescription="Umožňuje vytvoriť nový dokument." ma:contentTypeScope="" ma:versionID="e8c4bf5d7fb5d8efcdd4009cfaf187ae">
  <xsd:schema xmlns:xsd="http://www.w3.org/2001/XMLSchema" xmlns:xs="http://www.w3.org/2001/XMLSchema" xmlns:p="http://schemas.microsoft.com/office/2006/metadata/properties" xmlns:ns2="5d92646e-282c-4c1b-a13d-2ee2480bf4f6" targetNamespace="http://schemas.microsoft.com/office/2006/metadata/properties" ma:root="true" ma:fieldsID="a92bf449d0cee63487f34e9064fbc894" ns2:_="">
    <xsd:import namespace="5d92646e-282c-4c1b-a13d-2ee2480bf4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2646e-282c-4c1b-a13d-2ee2480bf4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92646e-282c-4c1b-a13d-2ee2480bf4f6">MNVPC42E3CNQ-7-1467</_dlc_DocId>
    <_dlc_DocIdUrl xmlns="5d92646e-282c-4c1b-a13d-2ee2480bf4f6">
      <Url>http://portalms.justice.sk/_layouts/DocIdRedir.aspx?ID=MNVPC42E3CNQ-7-1467</Url>
      <Description>MNVPC42E3CNQ-7-1467</Description>
    </_dlc_DocIdUrl>
  </documentManagement>
</p:properties>
</file>

<file path=customXml/itemProps1.xml><?xml version="1.0" encoding="utf-8"?>
<ds:datastoreItem xmlns:ds="http://schemas.openxmlformats.org/officeDocument/2006/customXml" ds:itemID="{352D7A8B-A3B3-41A0-A8FF-2FD97900D896}"/>
</file>

<file path=customXml/itemProps2.xml><?xml version="1.0" encoding="utf-8"?>
<ds:datastoreItem xmlns:ds="http://schemas.openxmlformats.org/officeDocument/2006/customXml" ds:itemID="{2781DDB5-BD8B-4C1D-A39D-B79EF8E77AB3}"/>
</file>

<file path=customXml/itemProps3.xml><?xml version="1.0" encoding="utf-8"?>
<ds:datastoreItem xmlns:ds="http://schemas.openxmlformats.org/officeDocument/2006/customXml" ds:itemID="{3AAA0080-C820-473B-A05C-199CE387537B}"/>
</file>

<file path=customXml/itemProps4.xml><?xml version="1.0" encoding="utf-8"?>
<ds:datastoreItem xmlns:ds="http://schemas.openxmlformats.org/officeDocument/2006/customXml" ds:itemID="{53DCDBC8-B76C-4F10-B0A1-4F4B4267407F}"/>
</file>

<file path=docProps/app.xml><?xml version="1.0" encoding="utf-8"?>
<Properties xmlns="http://schemas.openxmlformats.org/officeDocument/2006/extended-properties" xmlns:vt="http://schemas.openxmlformats.org/officeDocument/2006/docPropsVTypes">
  <Template>sablona_TS.dotx</Template>
  <TotalTime>0</TotalTime>
  <Pages>1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BALINTOVA Miroslava</dc:creator>
  <cp:lastModifiedBy>PIROSIKOVA Marica</cp:lastModifiedBy>
  <cp:revision>2</cp:revision>
  <cp:lastPrinted>2016-09-14T09:39:00Z</cp:lastPrinted>
  <dcterms:created xsi:type="dcterms:W3CDTF">2019-06-04T07:42:00Z</dcterms:created>
  <dcterms:modified xsi:type="dcterms:W3CDTF">2019-06-04T07:42:00Z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0x010100A32687A7543A9642AA8A5AC69DB74E75</vt:lpwstr>
  </property>
  <property fmtid="{D5CDD505-2E9C-101B-9397-08002B2CF9AE}" pid="3" name="_dlc_DocIdItemGuid">
    <vt:lpwstr>da091b5a-bede-46cc-9833-e578124a71e3</vt:lpwstr>
  </property>
</Properties>
</file>